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P06-CHINA-001｜雄安文明跃迁区域制度研究</w:t>
      </w:r>
    </w:p>
    <w:p>
      <w:pPr>
        <w:jc w:val="center"/>
      </w:pPr>
      <w:r>
        <w:rPr>
          <w:b/>
        </w:rPr>
        <w:t>历史概念源受控公共研究稿｜从“制度方案”降为“制度压力测试”</w:t>
      </w:r>
    </w:p>
    <w:p>
      <w:pPr>
        <w:jc w:val="center"/>
      </w:pPr>
      <w:r>
        <w:t>V1.1｜2026-09-03｜子君赋｜文明跃迁研究组</w:t>
        <w:br/>
        <w:t>CONTROLLED PUBLIC RESEARCH RELEASE</w:t>
      </w:r>
    </w:p>
    <w:p>
      <w:r>
        <w:t>说明：本稿是依据 C5-A1 已冻结的身份/版本关系与 C5-A2 已冻结的事实、权利、法域和现实效力边界形成的受控重写稿。它不证明任何政府、机构、企业或城市已受理、授权、立项、合作或实施。所有具体试验、数据处理、金融安排、公共资源连接与跨法域机制，均须在真实主体、适用法律、监管许可、预算和受影响者程序明确后另行审查。</w:t>
      </w:r>
    </w:p>
    <w:p>
      <w:pPr>
        <w:pStyle w:val="Heading1"/>
      </w:pPr>
      <w:r>
        <w:t>一、研究定位</w:t>
      </w:r>
    </w:p>
    <w:p>
      <w:r>
        <w:t>本稿保留原始雄安概念框架的思想问题意识：AI时代城市不只需要“硬基建”，还需要研究社会激励、公共协作、资源利用、数字治理和风险控制如何共同作用。但它不再把贡献值、资源双池、贡献加权治理或法币接口写成已获授权或可直接实施的制度。</w:t>
      </w:r>
    </w:p>
    <w:p>
      <w:pPr>
        <w:pStyle w:val="Heading1"/>
      </w:pPr>
      <w:r>
        <w:t>二、可以保留的核心研究问题</w:t>
      </w:r>
    </w:p>
    <w:p>
      <w:pPr>
        <w:pStyle w:val="ListBullet"/>
      </w:pPr>
      <w:r>
        <w:t>如何在不削弱基本权利和普遍公共资格的前提下，设计自愿、可退出、可审计的增量协作激励。</w:t>
      </w:r>
    </w:p>
    <w:p>
      <w:pPr>
        <w:pStyle w:val="ListBullet"/>
      </w:pPr>
      <w:r>
        <w:t>如何利用数字技术降低公共项目协作成本，同时避免把单一分值演变为人格评分、社会信用替代物或通用治理权。</w:t>
      </w:r>
    </w:p>
    <w:p>
      <w:pPr>
        <w:pStyle w:val="ListBullet"/>
      </w:pPr>
      <w:r>
        <w:t>如何把城市空间、生态循环、教育、健康、社区互助等模块化实验设计成可停止、可回滚、可独立评估的研究单元。</w:t>
      </w:r>
    </w:p>
    <w:p>
      <w:pPr>
        <w:pStyle w:val="ListBullet"/>
      </w:pPr>
      <w:r>
        <w:t>如何把AI用于政策影响模拟、资源调度建议和风险预警，同时保留人类责任主体、申诉和审计。</w:t>
      </w:r>
    </w:p>
    <w:p>
      <w:pPr>
        <w:pStyle w:val="Heading1"/>
      </w:pPr>
      <w:r>
        <w:t>三、贡献度量的公共边界</w:t>
      </w:r>
    </w:p>
    <w:p>
      <w:r>
        <w:t>“贡献值/CV”在本稿中仅作为研究变量：可用于记录自愿参与的公共项目贡献、识别协作瓶颈、研究激励效果。它不得决定基本住房、基础医疗、义务教育、人格尊严、一般公共服务、普遍政治权利或法律地位；不得自动与人民币形成固定汇率、继承权或通用财产权。</w:t>
      </w:r>
    </w:p>
    <w:p>
      <w:pPr>
        <w:pStyle w:val="Heading1"/>
      </w:pPr>
      <w:r>
        <w:t>四、雄安场景下的可验证模块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86"/>
        <w:gridCol w:w="3286"/>
        <w:gridCol w:w="3286"/>
      </w:tblGrid>
      <w:tr>
        <w:tc>
          <w:tcPr>
            <w:tcW w:type="dxa" w:w="3286"/>
            <w:shd w:fill="D9EAF7"/>
            <w:vAlign w:val="center"/>
          </w:tcPr>
          <w:p>
            <w:r>
              <w:rPr>
                <w:b/>
              </w:rPr>
              <w:t>模块</w:t>
            </w:r>
          </w:p>
        </w:tc>
        <w:tc>
          <w:tcPr>
            <w:tcW w:type="dxa" w:w="3286"/>
            <w:shd w:fill="D9EAF7"/>
            <w:vAlign w:val="center"/>
          </w:tcPr>
          <w:p>
            <w:r>
              <w:rPr>
                <w:b/>
              </w:rPr>
              <w:t>研究目的</w:t>
            </w:r>
          </w:p>
        </w:tc>
        <w:tc>
          <w:tcPr>
            <w:tcW w:type="dxa" w:w="3286"/>
            <w:shd w:fill="D9EAF7"/>
            <w:vAlign w:val="center"/>
          </w:tcPr>
          <w:p>
            <w:r>
              <w:rPr>
                <w:b/>
              </w:rPr>
              <w:t>最低控制条件</w:t>
            </w:r>
          </w:p>
        </w:tc>
      </w:tr>
      <w:tr>
        <w:tc>
          <w:tcPr>
            <w:tcW w:type="dxa" w:w="3286"/>
          </w:tcPr>
          <w:p>
            <w:r>
              <w:t>共生社区</w:t>
            </w:r>
          </w:p>
        </w:tc>
        <w:tc>
          <w:tcPr>
            <w:tcW w:type="dxa" w:w="3286"/>
          </w:tcPr>
          <w:p>
            <w:r>
              <w:t>研究共享空间、邻里互助、跨群体协作是否提升社会资本</w:t>
            </w:r>
          </w:p>
        </w:tc>
        <w:tc>
          <w:tcPr>
            <w:tcW w:type="dxa" w:w="3286"/>
          </w:tcPr>
          <w:p>
            <w:r>
              <w:t>自愿参与；不参与不受惩罚；不绑定基本服务</w:t>
            </w:r>
          </w:p>
        </w:tc>
      </w:tr>
      <w:tr>
        <w:tc>
          <w:tcPr>
            <w:tcW w:type="dxa" w:w="3286"/>
          </w:tcPr>
          <w:p>
            <w:r>
              <w:t>生态循环</w:t>
            </w:r>
          </w:p>
        </w:tc>
        <w:tc>
          <w:tcPr>
            <w:tcW w:type="dxa" w:w="3286"/>
          </w:tcPr>
          <w:p>
            <w:r>
              <w:t>研究屋顶农业、资源回收、能源与水循环的协同效率</w:t>
            </w:r>
          </w:p>
        </w:tc>
        <w:tc>
          <w:tcPr>
            <w:tcW w:type="dxa" w:w="3286"/>
          </w:tcPr>
          <w:p>
            <w:r>
              <w:t>以真实成本/环境指标评估，不以贡献分数替代产权</w:t>
            </w:r>
          </w:p>
        </w:tc>
      </w:tr>
      <w:tr>
        <w:tc>
          <w:tcPr>
            <w:tcW w:type="dxa" w:w="3286"/>
          </w:tcPr>
          <w:p>
            <w:r>
              <w:t>未来文教</w:t>
            </w:r>
          </w:p>
        </w:tc>
        <w:tc>
          <w:tcPr>
            <w:tcW w:type="dxa" w:w="3286"/>
          </w:tcPr>
          <w:p>
            <w:r>
              <w:t>研究项目制学习与真实城市问题连接</w:t>
            </w:r>
          </w:p>
        </w:tc>
        <w:tc>
          <w:tcPr>
            <w:tcW w:type="dxa" w:w="3286"/>
          </w:tcPr>
          <w:p>
            <w:r>
              <w:t>教育机会与学位资格独立；贡献记录只作学习反馈</w:t>
            </w:r>
          </w:p>
        </w:tc>
      </w:tr>
      <w:tr>
        <w:tc>
          <w:tcPr>
            <w:tcW w:type="dxa" w:w="3286"/>
          </w:tcPr>
          <w:p>
            <w:r>
              <w:t>健康促进</w:t>
            </w:r>
          </w:p>
        </w:tc>
        <w:tc>
          <w:tcPr>
            <w:tcW w:type="dxa" w:w="3286"/>
          </w:tcPr>
          <w:p>
            <w:r>
              <w:t>研究自愿健康行为激励</w:t>
            </w:r>
          </w:p>
        </w:tc>
        <w:tc>
          <w:tcPr>
            <w:tcW w:type="dxa" w:w="3286"/>
          </w:tcPr>
          <w:p>
            <w:r>
              <w:t>医疗优先级由医学标准决定，贡献记录不得改变临床必要性</w:t>
            </w:r>
          </w:p>
        </w:tc>
      </w:tr>
      <w:tr>
        <w:tc>
          <w:tcPr>
            <w:tcW w:type="dxa" w:w="3286"/>
          </w:tcPr>
          <w:p>
            <w:r>
              <w:t>AI辅助治理</w:t>
            </w:r>
          </w:p>
        </w:tc>
        <w:tc>
          <w:tcPr>
            <w:tcW w:type="dxa" w:w="3286"/>
          </w:tcPr>
          <w:p>
            <w:r>
              <w:t>研究政策模拟与风险预警</w:t>
            </w:r>
          </w:p>
        </w:tc>
        <w:tc>
          <w:tcPr>
            <w:tcW w:type="dxa" w:w="3286"/>
          </w:tcPr>
          <w:p>
            <w:r>
              <w:t>人类决策责任、模型说明、申诉、审计和停止机制</w:t>
            </w:r>
          </w:p>
        </w:tc>
      </w:tr>
    </w:tbl>
    <w:p>
      <w:pPr>
        <w:pStyle w:val="Heading1"/>
      </w:pPr>
      <w:r>
        <w:t>五、实施方法：从“启动核”改为“受控研究单元”</w:t>
      </w:r>
    </w:p>
    <w:p>
      <w:r>
        <w:t>后续如有真实合作主体，可选择边界清晰的小尺度场景开展研究。任何面积、人数、年限、预算、合作机构和KPI均作为待协商参数，不预先写死；试验必须设置进入条件、退出条件、数据最小化、独立评估和停止/回滚机制。</w:t>
      </w:r>
    </w:p>
    <w:p>
      <w:pPr>
        <w:pStyle w:val="Heading1"/>
      </w:pPr>
      <w:r>
        <w:t>六、历史来源说明</w:t>
      </w:r>
    </w:p>
    <w:p>
      <w:r>
        <w:t>本稿承接 P06-CHINA-001 旧直接源件的概念框架，但不是对旧稿现实制度主张的确认。旧稿中贡献值-人民币兑换、贡献加权通用决策、继承、空置回收、特别立法等仅作为历史研究假设保留在版本档案中。</w:t>
      </w:r>
    </w:p>
    <w:p>
      <w:pPr>
        <w:pStyle w:val="Heading1"/>
      </w:pPr>
      <w:r>
        <w:rPr>
          <w:b/>
        </w:rPr>
        <w:t>外部证据与引用边界</w:t>
      </w:r>
    </w:p>
    <w:p>
      <w:r>
        <w:t>以下来源仅用于核验文中明确标识的现实背景与法域边界，不构成有关机构对本文方案的认可、受理、授权或实施证据。检索日期：2026-09-03。</w:t>
      </w:r>
    </w:p>
    <w:p>
      <w:pPr>
        <w:ind w:left="200"/>
      </w:pPr>
      <w:r>
        <w:rPr>
          <w:b/>
        </w:rPr>
        <w:t xml:space="preserve">[1] 中国雄安官网｜数字人民币“雄安实践”. </w:t>
      </w:r>
      <w:r>
        <w:t>https://www.xiongan.gov.cn/20250519/faf269994bb64fbda77a11d0f7313333/c.html</w:t>
      </w:r>
      <w:r>
        <w:t xml:space="preserve"> — 用于核验雄安存在数字人民币相关实践的现实背景；不支持XCV、贡献加权治理或贡献值—人民币制度已获授权。</w:t>
      </w:r>
    </w:p>
    <w:p>
      <w:pPr>
        <w:ind w:left="200"/>
      </w:pPr>
      <w:r>
        <w:rPr>
          <w:b/>
        </w:rPr>
        <w:t xml:space="preserve">[2] 中国雄安官网｜自贸试验区改革示范项目揭榜挂帅. </w:t>
      </w:r>
      <w:r>
        <w:t>https://www.xiongan.gov.cn/20260722/92436f2a5b354389b3ee9d328fbba0f9/c.html</w:t>
      </w:r>
      <w:r>
        <w:t xml:space="preserve"> — 用于核验雄安存在金融创新、数据跨境等改革议题；不构成本文制度研究方案的现实授权证据。</w:t>
      </w:r>
    </w:p>
    <w:p>
      <w:pPr>
        <w:pStyle w:val="Heading1"/>
      </w:pPr>
      <w:r>
        <w:rPr>
          <w:b/>
        </w:rPr>
        <w:t>Evidence classification / 证据分类</w:t>
      </w:r>
    </w:p>
    <w:p>
      <w:r>
        <w:t>本文中的理论命题与制度设计属于作者方研究主张；现实事实仅限上述来源可支持的背景；未来机构设计、时间表、试点规模、资金安排和政策路径均属于情景/建议，不属于已发生事实或现实授权。</w:t>
      </w:r>
    </w:p>
    <w:p>
      <w:pPr>
        <w:pStyle w:val="Heading1"/>
      </w:pPr>
      <w:r>
        <w:rPr>
          <w:b/>
        </w:rPr>
        <w:t>Version signature / 版本签名</w:t>
      </w:r>
    </w:p>
    <w:p>
      <w:r>
        <w:t>Permanent ID: P06-CHINA-001</w:t>
      </w:r>
    </w:p>
    <w:p>
      <w:r>
        <w:t>Release status: CURRENT CONTROLLED PUBLIC RESEARCH / PUBLIC RELEASE</w:t>
      </w:r>
    </w:p>
    <w:p>
      <w:r>
        <w:t>Version: V1.1_SIGNED</w:t>
      </w:r>
    </w:p>
    <w:p>
      <w:r>
        <w:t>Signed date: 2026-09-03</w:t>
      </w:r>
    </w:p>
    <w:p>
      <w:r>
        <w:t>Parent candidate SHA-256 (C5-A3): 120b93e6b1e50960a059713cbd45a923854c2ea1029a1add987f2515332b60b5</w:t>
      </w:r>
    </w:p>
    <w:p>
      <w:r>
        <w:t>Signed input SHA-256 (C5-A4): bab977f94ca3cc292e839d1e0f408d27fce00df4ea47e0d90d6b05196712e8c9</w:t>
      </w:r>
    </w:p>
    <w:p>
      <w:r>
        <w:t>Public publication slug: p06-china-001</w:t>
      </w:r>
    </w:p>
    <w:sectPr w:rsidR="00FC693F" w:rsidRPr="0006063C" w:rsidSect="00034616">
      <w:pgSz w:w="12240" w:h="15840"/>
      <w:pgMar w:top="1020" w:right="1191" w:bottom="1020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SC" w:hAnsi="Noto Sans CJK SC" w:eastAsia="等线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4F81BD" w:themeColor="accent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SC" w:hAnsi="Noto Sans CJK SC" w:eastAsia="Noto Sans CJK SC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