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P06-CHINA-002｜雄安文明跃迁受控实验路线</w:t>
      </w:r>
    </w:p>
    <w:p>
      <w:pPr>
        <w:jc w:val="center"/>
      </w:pPr>
      <w:r>
        <w:rPr>
          <w:b/>
        </w:rPr>
        <w:t>历史执行子稿受控公共研究稿｜分层试验、模块验证、网络学习</w:t>
      </w:r>
    </w:p>
    <w:p>
      <w:pPr>
        <w:jc w:val="center"/>
      </w:pPr>
      <w:r>
        <w:t>V1.1｜2026-09-03｜子君赋｜文明跃迁研究组</w:t>
        <w:br/>
        <w:t>CONTROLLED PUBLIC RESEARCH RELEASE</w:t>
      </w:r>
    </w:p>
    <w:p>
      <w:r>
        <w:t>说明：本稿是依据 C5-A1 已冻结的身份/版本关系与 C5-A2 已冻结的事实、权利、法域和现实效力边界形成的受控重写稿。它不证明任何政府、机构、企业或城市已受理、授权、立项、合作或实施。所有具体试验、数据处理、金融安排、公共资源连接与跨法域机制，均须在真实主体、适用法律、监管许可、预算和受影响者程序明确后另行审查。</w:t>
      </w:r>
    </w:p>
    <w:p>
      <w:pPr>
        <w:pStyle w:val="Heading1"/>
      </w:pPr>
      <w:r>
        <w:t>一、从执行蓝图改为实验方法</w:t>
      </w:r>
    </w:p>
    <w:p>
      <w:r>
        <w:t>旧稿“启动核→模组扩展→网络互联”的价值在于提供了逐步验证思路。C5-A3 保留这一方法，但不再预设试验区已成立、条例会通过、企业会合作或XCV会成为支付/治理工具。</w:t>
      </w:r>
    </w:p>
    <w:p>
      <w:pPr>
        <w:pStyle w:val="Heading1"/>
      </w:pPr>
      <w:r>
        <w:t>二、三阶段研究路线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4"/>
        <w:gridCol w:w="2464"/>
        <w:gridCol w:w="2464"/>
        <w:gridCol w:w="2464"/>
      </w:tblGrid>
      <w:tr>
        <w:tc>
          <w:tcPr>
            <w:tcW w:type="dxa" w:w="2464"/>
            <w:shd w:fill="D9EAF7"/>
            <w:vAlign w:val="center"/>
          </w:tcPr>
          <w:p>
            <w:r>
              <w:rPr>
                <w:b/>
              </w:rPr>
              <w:t>阶段</w:t>
            </w:r>
          </w:p>
        </w:tc>
        <w:tc>
          <w:tcPr>
            <w:tcW w:type="dxa" w:w="2464"/>
            <w:shd w:fill="D9EAF7"/>
            <w:vAlign w:val="center"/>
          </w:tcPr>
          <w:p>
            <w:r>
              <w:rPr>
                <w:b/>
              </w:rPr>
              <w:t>目的</w:t>
            </w:r>
          </w:p>
        </w:tc>
        <w:tc>
          <w:tcPr>
            <w:tcW w:type="dxa" w:w="2464"/>
            <w:shd w:fill="D9EAF7"/>
            <w:vAlign w:val="center"/>
          </w:tcPr>
          <w:p>
            <w:r>
              <w:rPr>
                <w:b/>
              </w:rPr>
              <w:t>允许内容</w:t>
            </w:r>
          </w:p>
        </w:tc>
        <w:tc>
          <w:tcPr>
            <w:tcW w:type="dxa" w:w="2464"/>
            <w:shd w:fill="D9EAF7"/>
            <w:vAlign w:val="center"/>
          </w:tcPr>
          <w:p>
            <w:r>
              <w:rPr>
                <w:b/>
              </w:rPr>
              <w:t>禁止预设</w:t>
            </w:r>
          </w:p>
        </w:tc>
      </w:tr>
      <w:tr>
        <w:tc>
          <w:tcPr>
            <w:tcW w:type="dxa" w:w="2464"/>
          </w:tcPr>
          <w:p>
            <w:r>
              <w:t>阶段A：小尺度验证</w:t>
            </w:r>
          </w:p>
        </w:tc>
        <w:tc>
          <w:tcPr>
            <w:tcW w:type="dxa" w:w="2464"/>
          </w:tcPr>
          <w:p>
            <w:r>
              <w:t>验证单一机制是否有效且无明显权利副作用</w:t>
            </w:r>
          </w:p>
        </w:tc>
        <w:tc>
          <w:tcPr>
            <w:tcW w:type="dxa" w:w="2464"/>
          </w:tcPr>
          <w:p>
            <w:r>
              <w:t>社区互助、教育项目、生态循环、健康促进等自愿性模块</w:t>
            </w:r>
          </w:p>
        </w:tc>
        <w:tc>
          <w:tcPr>
            <w:tcW w:type="dxa" w:w="2464"/>
          </w:tcPr>
          <w:p>
            <w:r>
              <w:t>特别立法、固定人口、XCV法币兑换、企业签约</w:t>
            </w:r>
          </w:p>
        </w:tc>
      </w:tr>
      <w:tr>
        <w:tc>
          <w:tcPr>
            <w:tcW w:type="dxa" w:w="2464"/>
          </w:tcPr>
          <w:p>
            <w:r>
              <w:t>阶段B：跨模块联测</w:t>
            </w:r>
          </w:p>
        </w:tc>
        <w:tc>
          <w:tcPr>
            <w:tcW w:type="dxa" w:w="2464"/>
          </w:tcPr>
          <w:p>
            <w:r>
              <w:t>验证模块之间的数据/激励耦合风险</w:t>
            </w:r>
          </w:p>
        </w:tc>
        <w:tc>
          <w:tcPr>
            <w:tcW w:type="dxa" w:w="2464"/>
          </w:tcPr>
          <w:p>
            <w:r>
              <w:t>最小必要数据接口、共同指标、独立评估</w:t>
            </w:r>
          </w:p>
        </w:tc>
        <w:tc>
          <w:tcPr>
            <w:tcW w:type="dxa" w:w="2464"/>
          </w:tcPr>
          <w:p>
            <w:r>
              <w:t>把单一贡献分数扩展为通用身份或治理资格</w:t>
            </w:r>
          </w:p>
        </w:tc>
      </w:tr>
      <w:tr>
        <w:tc>
          <w:tcPr>
            <w:tcW w:type="dxa" w:w="2464"/>
          </w:tcPr>
          <w:p>
            <w:r>
              <w:t>阶段C：可复制性评估</w:t>
            </w:r>
          </w:p>
        </w:tc>
        <w:tc>
          <w:tcPr>
            <w:tcW w:type="dxa" w:w="2464"/>
          </w:tcPr>
          <w:p>
            <w:r>
              <w:t>判断哪些机制可迁移到不同场景</w:t>
            </w:r>
          </w:p>
        </w:tc>
        <w:tc>
          <w:tcPr>
            <w:tcW w:type="dxa" w:w="2464"/>
          </w:tcPr>
          <w:p>
            <w:r>
              <w:t>公开方法、边界条件、失败案例、退出机制</w:t>
            </w:r>
          </w:p>
        </w:tc>
        <w:tc>
          <w:tcPr>
            <w:tcW w:type="dxa" w:w="2464"/>
          </w:tcPr>
          <w:p>
            <w:r>
              <w:t>自动全域推广或跨地区机械复制</w:t>
            </w:r>
          </w:p>
        </w:tc>
      </w:tr>
    </w:tbl>
    <w:p>
      <w:pPr>
        <w:pStyle w:val="Heading1"/>
      </w:pPr>
      <w:r>
        <w:t>三、评价指标</w:t>
      </w:r>
    </w:p>
    <w:p>
      <w:pPr>
        <w:pStyle w:val="ListBullet"/>
      </w:pPr>
      <w:r>
        <w:t>参与率与退出率同时报告，防止只看“渗透率”。</w:t>
      </w:r>
    </w:p>
    <w:p>
      <w:pPr>
        <w:pStyle w:val="ListBullet"/>
      </w:pPr>
      <w:r>
        <w:t>幸福感、社会资本、创新活力、生态效率等指标必须给出测量方法和对照基线。</w:t>
      </w:r>
    </w:p>
    <w:p>
      <w:pPr>
        <w:pStyle w:val="ListBullet"/>
      </w:pPr>
      <w:r>
        <w:t>贡献评估争议、申诉、偏差和误伤必须作为核心风险指标，而非附属指标。</w:t>
      </w:r>
    </w:p>
    <w:p>
      <w:pPr>
        <w:pStyle w:val="ListBullet"/>
      </w:pPr>
      <w:r>
        <w:t>任何金融或数据处理指标必须以适用法域、监管许可和个人权利为前置条件。</w:t>
      </w:r>
    </w:p>
    <w:p>
      <w:pPr>
        <w:pStyle w:val="Heading1"/>
      </w:pPr>
      <w:r>
        <w:t>四、治理与责任</w:t>
      </w:r>
    </w:p>
    <w:p>
      <w:r>
        <w:t>任何实验性委员会只负责研究项目范围内的建议和资源使用，不取得普遍公共权力。AI只能提供辅助分析，不替代法定机构、人类责任人和依法应有的程序。</w:t>
      </w:r>
    </w:p>
    <w:p>
      <w:pPr>
        <w:pStyle w:val="Heading1"/>
      </w:pPr>
      <w:r>
        <w:t>五、与001的关系</w:t>
      </w:r>
    </w:p>
    <w:p>
      <w:r>
        <w:t>本稿维持 P06-CHINA-002 独立永久ID，作为001同族的执行化研究子稿。它不覆盖001，也不被后置《中国之路》内部母稿替代。</w:t>
      </w:r>
    </w:p>
    <w:p>
      <w:pPr>
        <w:pStyle w:val="Heading1"/>
      </w:pPr>
      <w:r>
        <w:rPr>
          <w:b/>
        </w:rPr>
        <w:t>外部证据与引用边界</w:t>
      </w:r>
    </w:p>
    <w:p>
      <w:r>
        <w:t>以下来源仅用于核验文中明确标识的现实背景与法域边界，不构成有关机构对本文方案的认可、受理、授权或实施证据。检索日期：2026-09-03。</w:t>
      </w:r>
    </w:p>
    <w:p>
      <w:pPr>
        <w:ind w:left="200"/>
      </w:pPr>
      <w:r>
        <w:rPr>
          <w:b/>
        </w:rPr>
        <w:t xml:space="preserve">[1] 中国雄安官网｜数字人民币“雄安实践”. </w:t>
      </w:r>
      <w:r>
        <w:t>https://www.xiongan.gov.cn/20250519/faf269994bb64fbda77a11d0f7313333/c.html</w:t>
      </w:r>
      <w:r>
        <w:t xml:space="preserve"> — 仅作为雄安现有数字治理/支付创新背景；本文“受控研究单元”仍是作者方研究方法。</w:t>
      </w:r>
    </w:p>
    <w:p>
      <w:pPr>
        <w:ind w:left="200"/>
      </w:pPr>
      <w:r>
        <w:rPr>
          <w:b/>
        </w:rPr>
        <w:t xml:space="preserve">[2] 中国雄安官网｜自贸试验区改革示范项目揭榜挂帅. </w:t>
      </w:r>
      <w:r>
        <w:t>https://www.xiongan.gov.cn/20260722/92436f2a5b354389b3ee9d328fbba0f9/c.html</w:t>
      </w:r>
      <w:r>
        <w:t xml:space="preserve"> — 用于核验现实改革议题存在；不支持本文任何条例、XCV或具体合作主体已经成立。</w:t>
      </w:r>
    </w:p>
    <w:p>
      <w:pPr>
        <w:pStyle w:val="Heading1"/>
      </w:pPr>
      <w:r>
        <w:rPr>
          <w:b/>
        </w:rPr>
        <w:t>Evidence classification / 证据分类</w:t>
      </w:r>
    </w:p>
    <w:p>
      <w:r>
        <w:t>本文中的理论命题与制度设计属于作者方研究主张；现实事实仅限上述来源可支持的背景；未来机构设计、时间表、试点规模、资金安排和政策路径均属于情景/建议，不属于已发生事实或现实授权。</w:t>
      </w:r>
    </w:p>
    <w:p>
      <w:pPr>
        <w:pStyle w:val="Heading1"/>
      </w:pPr>
      <w:r>
        <w:rPr>
          <w:b/>
        </w:rPr>
        <w:t>Version signature / 版本签名</w:t>
      </w:r>
    </w:p>
    <w:p>
      <w:r>
        <w:t>Permanent ID: P06-CHINA-002</w:t>
      </w:r>
    </w:p>
    <w:p>
      <w:r>
        <w:t>Release status: CURRENT CONTROLLED PUBLIC RESEARCH / PUBLIC RELEASE</w:t>
      </w:r>
    </w:p>
    <w:p>
      <w:r>
        <w:t>Version: V1.1_SIGNED</w:t>
      </w:r>
    </w:p>
    <w:p>
      <w:r>
        <w:t>Signed date: 2026-09-03</w:t>
      </w:r>
    </w:p>
    <w:p>
      <w:r>
        <w:t>Parent candidate SHA-256 (C5-A3): 43e6d3574d85a196ca7d25baf31f1d7679bebdbe8fd60490c5c0b83abb122855</w:t>
      </w:r>
    </w:p>
    <w:p>
      <w:r>
        <w:t>Signed input SHA-256 (C5-A4): f982133b997cc81ecbae61fd6ddf363a31cdc506669e8f9d3b733de63874b34c</w:t>
      </w:r>
    </w:p>
    <w:p>
      <w:r>
        <w:t>Public publication slug: p06-china-002</w:t>
      </w:r>
    </w:p>
    <w:sectPr w:rsidR="00FC693F" w:rsidRPr="0006063C" w:rsidSect="00034616">
      <w:pgSz w:w="12240" w:h="15840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等线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SC" w:hAnsi="Noto Sans CJK SC" w:eastAsia="Noto Sans CJK SC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