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P06-CITY-001｜Singapore Civilization Leap Research Proposal</w:t>
      </w:r>
    </w:p>
    <w:p>
      <w:pPr>
        <w:jc w:val="center"/>
      </w:pPr>
      <w:r>
        <w:rPr>
          <w:b/>
        </w:rPr>
        <w:t>Controlled Public Candidate｜From SCV “National OS” to voluntary, rights-preserving civic experimentation</w:t>
      </w:r>
    </w:p>
    <w:p>
      <w:pPr>
        <w:jc w:val="center"/>
      </w:pPr>
      <w:r>
        <w:t>V1.1｜2026-09-03｜子君赋｜文明跃迁研究组</w:t>
        <w:br/>
        <w:t>CONTROLLED PUBLIC RESEARCH RELEASE</w:t>
      </w:r>
    </w:p>
    <w:p>
      <w:r>
        <w:t>说明：本稿是依据 C5-A1 已冻结的身份/版本关系与 C5-A2 已冻结的事实、权利、法域和现实效力边界形成的受控重写稿。它不证明任何政府、机构、企业或城市已受理、授权、立项、合作或实施。所有具体试验、数据处理、金融安排、公共资源连接与跨法域机制，均须在真实主体、适用法律、监管许可、预算和受影响者程序明确后另行审查。</w:t>
      </w:r>
    </w:p>
    <w:p>
      <w:pPr>
        <w:pStyle w:val="Heading1"/>
      </w:pPr>
      <w:r>
        <w:t>1. Purpose and scope</w:t>
      </w:r>
    </w:p>
    <w:p>
      <w:r>
        <w:t>Singapore’s digital-government capacity, public-housing ecosystem, research institutions and strong regulatory culture make it a useful setting for studying how voluntary civic incentives, AI-assisted policy analysis and modular social innovation could improve resilience in the AGI era. This document is a research proposal, not a government publication, accepted submission, national sandbox, or implementation plan.</w:t>
      </w:r>
    </w:p>
    <w:p>
      <w:pPr>
        <w:pStyle w:val="Heading1"/>
      </w:pPr>
      <w:r>
        <w:t>2. Reframing SCV</w:t>
      </w:r>
    </w:p>
    <w:p>
      <w:r>
        <w:t>Singapore Contribution Value (SCV) is reframed as an optional project-level contribution record and research variable. It is not money, a security, a credit score, a national identity layer, or a general allocation key for public power and essential services.</w:t>
      </w:r>
    </w:p>
    <w:p>
      <w:pPr>
        <w:pStyle w:val="Heading1"/>
      </w:pPr>
      <w:r>
        <w:t>3. Rights and opportunity firewall</w:t>
      </w:r>
    </w:p>
    <w:p>
      <w:pPr>
        <w:pStyle w:val="ListBullet"/>
      </w:pPr>
      <w:r>
        <w:t>SCV must not determine access to basic healthcare, public housing eligibility, school admission, scholarships, dormitory access, public courses, voting or general civic status.</w:t>
      </w:r>
    </w:p>
    <w:p>
      <w:pPr>
        <w:pStyle w:val="ListBullet"/>
      </w:pPr>
      <w:r>
        <w:t>Any incentive should be incremental, voluntary and non-exclusive: recognition, optional experiences, research participation feedback, or project-specific benefits that do not displace baseline entitlements.</w:t>
      </w:r>
    </w:p>
    <w:p>
      <w:pPr>
        <w:pStyle w:val="ListBullet"/>
      </w:pPr>
      <w:r>
        <w:t>No fixed SCV-SGD exchange rate, sovereign SCV bond, or contribution-value exchange is assumed. Any financial instrument would require a separate legal and regulatory analysis.</w:t>
      </w:r>
    </w:p>
    <w:p>
      <w:pPr>
        <w:pStyle w:val="Heading1"/>
      </w:pPr>
      <w:r>
        <w:t>4. Data governance</w:t>
      </w:r>
    </w:p>
    <w:p>
      <w:r>
        <w:t>Singpass/Myinfo should not be treated as a universal behavioral-scoring substrate. Any use of personal data must be tied to a specific service or study purpose, with clear notice, lawful basis/consent where applicable, withdrawal pathways, retention limits, security safeguards, access/correction mechanisms and restrictions on overseas transfer. Youth and campus pilots require additional safeguards.</w:t>
      </w:r>
    </w:p>
    <w:p>
      <w:pPr>
        <w:pStyle w:val="Heading1"/>
      </w:pPr>
      <w:r>
        <w:t>5. Low-risk research modules</w:t>
      </w:r>
    </w:p>
    <w:tbl>
      <w:tblPr>
        <w:tblStyle w:val="TableGrid"/>
        <w:tblW w:type="auto" w:w="0"/>
        <w:jc w:val="center"/>
        <w:tblLook w:firstColumn="1" w:firstRow="1" w:lastColumn="0" w:lastRow="0" w:noHBand="0" w:noVBand="1" w:val="04A0"/>
      </w:tblPr>
      <w:tblGrid>
        <w:gridCol w:w="3286"/>
        <w:gridCol w:w="3286"/>
        <w:gridCol w:w="3286"/>
      </w:tblGrid>
      <w:tr>
        <w:tc>
          <w:tcPr>
            <w:tcW w:type="dxa" w:w="3286"/>
            <w:shd w:fill="D9EAF7"/>
            <w:vAlign w:val="center"/>
          </w:tcPr>
          <w:p>
            <w:r>
              <w:rPr>
                <w:b/>
              </w:rPr>
              <w:t>Module</w:t>
            </w:r>
          </w:p>
        </w:tc>
        <w:tc>
          <w:tcPr>
            <w:tcW w:type="dxa" w:w="3286"/>
            <w:shd w:fill="D9EAF7"/>
            <w:vAlign w:val="center"/>
          </w:tcPr>
          <w:p>
            <w:r>
              <w:rPr>
                <w:b/>
              </w:rPr>
              <w:t>Research question</w:t>
            </w:r>
          </w:p>
        </w:tc>
        <w:tc>
          <w:tcPr>
            <w:tcW w:type="dxa" w:w="3286"/>
            <w:shd w:fill="D9EAF7"/>
            <w:vAlign w:val="center"/>
          </w:tcPr>
          <w:p>
            <w:r>
              <w:rPr>
                <w:b/>
              </w:rPr>
              <w:t>Control</w:t>
            </w:r>
          </w:p>
        </w:tc>
      </w:tr>
      <w:tr>
        <w:tc>
          <w:tcPr>
            <w:tcW w:type="dxa" w:w="3286"/>
          </w:tcPr>
          <w:p>
            <w:r>
              <w:t>Community</w:t>
            </w:r>
          </w:p>
        </w:tc>
        <w:tc>
          <w:tcPr>
            <w:tcW w:type="dxa" w:w="3286"/>
          </w:tcPr>
          <w:p>
            <w:r>
              <w:t>Can voluntary community service and shared spaces strengthen cross-group trust?</w:t>
            </w:r>
          </w:p>
        </w:tc>
        <w:tc>
          <w:tcPr>
            <w:tcW w:type="dxa" w:w="3286"/>
          </w:tcPr>
          <w:p>
            <w:r>
              <w:t>No impact on HDB eligibility or essential services</w:t>
            </w:r>
          </w:p>
        </w:tc>
      </w:tr>
      <w:tr>
        <w:tc>
          <w:tcPr>
            <w:tcW w:type="dxa" w:w="3286"/>
          </w:tcPr>
          <w:p>
            <w:r>
              <w:t>Sustainability</w:t>
            </w:r>
          </w:p>
        </w:tc>
        <w:tc>
          <w:tcPr>
            <w:tcW w:type="dxa" w:w="3286"/>
          </w:tcPr>
          <w:p>
            <w:r>
              <w:t>Can civic participation improve resource efficiency and urban farming outcomes?</w:t>
            </w:r>
          </w:p>
        </w:tc>
        <w:tc>
          <w:tcPr>
            <w:tcW w:type="dxa" w:w="3286"/>
          </w:tcPr>
          <w:p>
            <w:r>
              <w:t>Use environmental metrics, not social ranking</w:t>
            </w:r>
          </w:p>
        </w:tc>
      </w:tr>
      <w:tr>
        <w:tc>
          <w:tcPr>
            <w:tcW w:type="dxa" w:w="3286"/>
          </w:tcPr>
          <w:p>
            <w:r>
              <w:t>Learning</w:t>
            </w:r>
          </w:p>
        </w:tc>
        <w:tc>
          <w:tcPr>
            <w:tcW w:type="dxa" w:w="3286"/>
          </w:tcPr>
          <w:p>
            <w:r>
              <w:t>Can real-world projects deepen skills and civic capability?</w:t>
            </w:r>
          </w:p>
        </w:tc>
        <w:tc>
          <w:tcPr>
            <w:tcW w:type="dxa" w:w="3286"/>
          </w:tcPr>
          <w:p>
            <w:r>
              <w:t>Credits only through existing academic rules; no SCV gate</w:t>
            </w:r>
          </w:p>
        </w:tc>
      </w:tr>
      <w:tr>
        <w:tc>
          <w:tcPr>
            <w:tcW w:type="dxa" w:w="3286"/>
          </w:tcPr>
          <w:p>
            <w:r>
              <w:t>Health promotion</w:t>
            </w:r>
          </w:p>
        </w:tc>
        <w:tc>
          <w:tcPr>
            <w:tcW w:type="dxa" w:w="3286"/>
          </w:tcPr>
          <w:p>
            <w:r>
              <w:t>Can optional wellness incentives improve preventive behavior?</w:t>
            </w:r>
          </w:p>
        </w:tc>
        <w:tc>
          <w:tcPr>
            <w:tcW w:type="dxa" w:w="3286"/>
          </w:tcPr>
          <w:p>
            <w:r>
              <w:t>Clinical priority remains medical, not contribution-based</w:t>
            </w:r>
          </w:p>
        </w:tc>
      </w:tr>
      <w:tr>
        <w:tc>
          <w:tcPr>
            <w:tcW w:type="dxa" w:w="3286"/>
          </w:tcPr>
          <w:p>
            <w:r>
              <w:t>AI policy simulation</w:t>
            </w:r>
          </w:p>
        </w:tc>
        <w:tc>
          <w:tcPr>
            <w:tcW w:type="dxa" w:w="3286"/>
          </w:tcPr>
          <w:p>
            <w:r>
              <w:t>Can scenario models improve policy deliberation?</w:t>
            </w:r>
          </w:p>
        </w:tc>
        <w:tc>
          <w:tcPr>
            <w:tcW w:type="dxa" w:w="3286"/>
          </w:tcPr>
          <w:p>
            <w:r>
              <w:t>Human accountability, model documentation, contestability</w:t>
            </w:r>
          </w:p>
        </w:tc>
      </w:tr>
    </w:tbl>
    <w:p>
      <w:pPr>
        <w:pStyle w:val="Heading1"/>
      </w:pPr>
      <w:r>
        <w:t>6. Research pathway</w:t>
      </w:r>
    </w:p>
    <w:p>
      <w:r>
        <w:t>A prudent pathway is: multidisciplinary review → one or two opt-in pilots → independent evaluation → public reporting of benefits, harms and failures → only then consider broader replication. Locations, institutions, budgets and timelines remain hypothetical until real partners and approvals exist.</w:t>
      </w:r>
    </w:p>
    <w:p>
      <w:pPr>
        <w:pStyle w:val="Heading1"/>
      </w:pPr>
      <w:r>
        <w:t>7. Public status</w:t>
      </w:r>
    </w:p>
    <w:p>
      <w:r>
        <w:t>This controlled candidate supersedes the earlier “government publication enhanced” framing for public use. The historical source remains archived as evidence of the idea’s development, not as an authoritative description of Singapore policy.</w:t>
      </w:r>
    </w:p>
    <w:p>
      <w:pPr>
        <w:pStyle w:val="Heading1"/>
      </w:pPr>
      <w:r>
        <w:t>External evidence and citation boundary</w:t>
      </w:r>
    </w:p>
    <w:p>
      <w:r>
        <w:t>The following sources verify only the explicitly identified real-world context and legal/regulatory boundaries. They do not constitute endorsement, acceptance, authorization or implementation of this proposal. Accessed 2026-09-03.</w:t>
      </w:r>
    </w:p>
    <w:p>
      <w:pPr>
        <w:ind w:left="200"/>
      </w:pPr>
      <w:r>
        <w:rPr>
          <w:b/>
        </w:rPr>
        <w:t xml:space="preserve">[1] Singapore PDPC | Data Protection Obligations. </w:t>
      </w:r>
      <w:r>
        <w:t>https://www.pdpc.gov.sg/overview-of-pdpa/the-legislation/personal-data-protection-act/data-protection-obligations</w:t>
      </w:r>
      <w:r>
        <w:t xml:space="preserve"> — Supports the data-governance boundary: notification, consent/withdrawal, purpose limitation, protection, retention, overseas transfer, access/correction and breach obligations. It does not endorse SCV or any civic scoring system.</w:t>
      </w:r>
    </w:p>
    <w:p>
      <w:pPr>
        <w:ind w:left="200"/>
      </w:pPr>
      <w:r>
        <w:rPr>
          <w:b/>
        </w:rPr>
        <w:t xml:space="preserve">[2] Singapore PDPC | PDPA Overview. </w:t>
      </w:r>
      <w:r>
        <w:t>https://www.pdpc.gov.sg/overview-of-pdpa/the-legislation/personal-data-protection-act</w:t>
      </w:r>
      <w:r>
        <w:t xml:space="preserve"> — Confirms the PDPA baseline for private-sector personal-data processing; public-agency treatment requires its own applicable public-sector rules and project-specific legal review.</w:t>
      </w:r>
    </w:p>
    <w:p>
      <w:pPr>
        <w:pStyle w:val="Heading1"/>
      </w:pPr>
      <w:r>
        <w:rPr>
          <w:b/>
        </w:rPr>
        <w:t>Evidence classification / 证据分类</w:t>
      </w:r>
    </w:p>
    <w:p>
      <w:r>
        <w:t>Theory/proposal statements remain author-side research propositions. Real-world factual statements are limited to the cited institutional or legal background. Scenario assumptions and future institutional designs are explicitly non-factual and non-authorized unless separately evidenced.</w:t>
      </w:r>
    </w:p>
    <w:p>
      <w:pPr>
        <w:pStyle w:val="Heading1"/>
      </w:pPr>
      <w:r>
        <w:rPr>
          <w:b/>
        </w:rPr>
        <w:t>Version signature / 版本签名</w:t>
      </w:r>
    </w:p>
    <w:p>
      <w:r>
        <w:t>Permanent ID: P06-CITY-001</w:t>
      </w:r>
    </w:p>
    <w:p>
      <w:r>
        <w:t>Release status: CURRENT CONTROLLED PUBLIC RESEARCH / PUBLIC RELEASE</w:t>
      </w:r>
    </w:p>
    <w:p>
      <w:r>
        <w:t>Version: V1.1_SIGNED</w:t>
      </w:r>
    </w:p>
    <w:p>
      <w:r>
        <w:t>Signed date: 2026-09-03</w:t>
      </w:r>
    </w:p>
    <w:p>
      <w:r>
        <w:t>Parent candidate SHA-256 (C5-A3): bb3862c9e43209f378eaae6d6c865310c1044a596ff925ca6b13b644e8a2e917</w:t>
      </w:r>
    </w:p>
    <w:p>
      <w:r>
        <w:t>Signed input SHA-256 (C5-A4): bb34ca0aff69a3285fdfaefedf6300974c4947709f6593ac6e452b3c73aa5fce</w:t>
      </w:r>
    </w:p>
    <w:p>
      <w:r>
        <w:t>Public publication slug: p06-city-001</w:t>
      </w:r>
    </w:p>
    <w:sectPr w:rsidR="00FC693F" w:rsidRPr="0006063C" w:rsidSect="00034616">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SC" w:hAnsi="Noto Sans CJK SC" w:eastAsia="等线"/>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