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P06-CITY-002｜Dubai Civilization Leap – External Dialogue Candidate</w:t>
      </w:r>
    </w:p>
    <w:p>
      <w:pPr>
        <w:jc w:val="center"/>
      </w:pPr>
      <w:r>
        <w:rPr>
          <w:b/>
        </w:rPr>
        <w:t>V1.1-track controlled public rewrite｜Strategic discussion, not a regulatory or implementation claim</w:t>
      </w:r>
    </w:p>
    <w:p>
      <w:pPr>
        <w:jc w:val="center"/>
      </w:pPr>
      <w:r>
        <w:t>V1.1｜2026-09-03｜子君赋｜文明跃迁研究组</w:t>
        <w:br/>
        <w:t>CONTROLLED PUBLIC RESEARCH RELEASE</w:t>
      </w:r>
    </w:p>
    <w:p>
      <w:r>
        <w:t>说明：本稿是依据 C5-A1 已冻结的身份/版本关系与 C5-A2 已冻结的事实、权利、法域和现实效力边界形成的受控重写稿。它不证明任何政府、机构、企业或城市已受理、授权、立项、合作或实施。所有具体试验、数据处理、金融安排、公共资源连接与跨法域机制，均须在真实主体、适用法律、监管许可、预算和受影响者程序明确后另行审查。</w:t>
      </w:r>
    </w:p>
    <w:p>
      <w:pPr>
        <w:pStyle w:val="Heading1"/>
      </w:pPr>
      <w:r>
        <w:t>1. Strategic question</w:t>
      </w:r>
    </w:p>
    <w:p>
      <w:r>
        <w:t>Dubai is a useful setting for discussing how a globally connected, multicultural, technology-forward city might test human-centered AI governance, social resilience metrics and modular civic innovation. This proposal is a non-binding research dialogue. It does not assert that a DCV pilot law, DFSA sandbox, DCV-AED conversion, bond, exchange, or specific pilot zone has been approved.</w:t>
      </w:r>
    </w:p>
    <w:p>
      <w:pPr>
        <w:pStyle w:val="Heading1"/>
      </w:pPr>
      <w:r>
        <w:t>2. Contribution metrics as research, not an asset class</w:t>
      </w:r>
    </w:p>
    <w:p>
      <w:r>
        <w:t>Dubai Contribution Value (DCV) is treated only as a research metric for project-level contributions to resilience, innovation, sustainability and social cohesion. It is not presumed to be money, a security, a tradable asset, a legal entitlement or a key to public power.</w:t>
      </w:r>
    </w:p>
    <w:p>
      <w:pPr>
        <w:pStyle w:val="Heading1"/>
      </w:pPr>
      <w:r>
        <w:t>3. Jurisdiction first</w:t>
      </w:r>
    </w:p>
    <w:p>
      <w:pPr>
        <w:pStyle w:val="ListBullet"/>
      </w:pPr>
      <w:r>
        <w:t>Any data or financial pilot must identify the applicable legal and regulatory jurisdiction before design.</w:t>
      </w:r>
    </w:p>
    <w:p>
      <w:pPr>
        <w:pStyle w:val="ListBullet"/>
      </w:pPr>
      <w:r>
        <w:t>UAE federal rules and DIFC rules cannot be collapsed into a single “Dubai” legal regime.</w:t>
      </w:r>
    </w:p>
    <w:p>
      <w:pPr>
        <w:pStyle w:val="ListBullet"/>
      </w:pPr>
      <w:r>
        <w:t>If a future project touches financial services, tokenization, investment products or exchange activity, the responsible regulator and legal classification must be determined before public claims or testing.</w:t>
      </w:r>
    </w:p>
    <w:p>
      <w:pPr>
        <w:pStyle w:val="ListBullet"/>
      </w:pPr>
      <w:r>
        <w:t>AI and personal-data processing must have defined purpose, data minimization, security, rights/complaints and cross-border controls.</w:t>
      </w:r>
    </w:p>
    <w:p>
      <w:pPr>
        <w:pStyle w:val="Heading1"/>
      </w:pPr>
      <w:r>
        <w:t>4. Low-risk first experiments</w:t>
      </w:r>
    </w:p>
    <w:tbl>
      <w:tblPr>
        <w:tblStyle w:val="TableGrid"/>
        <w:tblW w:type="auto" w:w="0"/>
        <w:jc w:val="center"/>
        <w:tblLook w:firstColumn="1" w:firstRow="1" w:lastColumn="0" w:lastRow="0" w:noHBand="0" w:noVBand="1" w:val="04A0"/>
      </w:tblPr>
      <w:tblGrid>
        <w:gridCol w:w="3286"/>
        <w:gridCol w:w="3286"/>
        <w:gridCol w:w="3286"/>
      </w:tblGrid>
      <w:tr>
        <w:tc>
          <w:tcPr>
            <w:tcW w:type="dxa" w:w="3286"/>
            <w:shd w:fill="D9EAF7"/>
            <w:vAlign w:val="center"/>
          </w:tcPr>
          <w:p>
            <w:r>
              <w:rPr>
                <w:b/>
              </w:rPr>
              <w:t>Theme</w:t>
            </w:r>
          </w:p>
        </w:tc>
        <w:tc>
          <w:tcPr>
            <w:tcW w:type="dxa" w:w="3286"/>
            <w:shd w:fill="D9EAF7"/>
            <w:vAlign w:val="center"/>
          </w:tcPr>
          <w:p>
            <w:r>
              <w:rPr>
                <w:b/>
              </w:rPr>
              <w:t>Possible research</w:t>
            </w:r>
          </w:p>
        </w:tc>
        <w:tc>
          <w:tcPr>
            <w:tcW w:type="dxa" w:w="3286"/>
            <w:shd w:fill="D9EAF7"/>
            <w:vAlign w:val="center"/>
          </w:tcPr>
          <w:p>
            <w:r>
              <w:rPr>
                <w:b/>
              </w:rPr>
              <w:t>Excluded at this stage</w:t>
            </w:r>
          </w:p>
        </w:tc>
      </w:tr>
      <w:tr>
        <w:tc>
          <w:tcPr>
            <w:tcW w:type="dxa" w:w="3286"/>
          </w:tcPr>
          <w:p>
            <w:r>
              <w:t>Community resilience</w:t>
            </w:r>
          </w:p>
        </w:tc>
        <w:tc>
          <w:tcPr>
            <w:tcW w:type="dxa" w:w="3286"/>
          </w:tcPr>
          <w:p>
            <w:r>
              <w:t>Voluntary recognition for verified community projects</w:t>
            </w:r>
          </w:p>
        </w:tc>
        <w:tc>
          <w:tcPr>
            <w:tcW w:type="dxa" w:w="3286"/>
          </w:tcPr>
          <w:p>
            <w:r>
              <w:t>Public service eligibility or civic status based on DCV</w:t>
            </w:r>
          </w:p>
        </w:tc>
      </w:tr>
      <w:tr>
        <w:tc>
          <w:tcPr>
            <w:tcW w:type="dxa" w:w="3286"/>
          </w:tcPr>
          <w:p>
            <w:r>
              <w:t>Climate/food resilience</w:t>
            </w:r>
          </w:p>
        </w:tc>
        <w:tc>
          <w:tcPr>
            <w:tcW w:type="dxa" w:w="3286"/>
          </w:tcPr>
          <w:p>
            <w:r>
              <w:t>Measure verified effects of local sustainability projects</w:t>
            </w:r>
          </w:p>
        </w:tc>
        <w:tc>
          <w:tcPr>
            <w:tcW w:type="dxa" w:w="3286"/>
          </w:tcPr>
          <w:p>
            <w:r>
              <w:t>Fixed DCV-AED peg or financial claims</w:t>
            </w:r>
          </w:p>
        </w:tc>
      </w:tr>
      <w:tr>
        <w:tc>
          <w:tcPr>
            <w:tcW w:type="dxa" w:w="3286"/>
          </w:tcPr>
          <w:p>
            <w:r>
              <w:t>Education/innovation</w:t>
            </w:r>
          </w:p>
        </w:tc>
        <w:tc>
          <w:tcPr>
            <w:tcW w:type="dxa" w:w="3286"/>
          </w:tcPr>
          <w:p>
            <w:r>
              <w:t>Project-based research collaboration</w:t>
            </w:r>
          </w:p>
        </w:tc>
        <w:tc>
          <w:tcPr>
            <w:tcW w:type="dxa" w:w="3286"/>
          </w:tcPr>
          <w:p>
            <w:r>
              <w:t>Admissions or essential opportunity gates</w:t>
            </w:r>
          </w:p>
        </w:tc>
      </w:tr>
      <w:tr>
        <w:tc>
          <w:tcPr>
            <w:tcW w:type="dxa" w:w="3286"/>
          </w:tcPr>
          <w:p>
            <w:r>
              <w:t>AI governance</w:t>
            </w:r>
          </w:p>
        </w:tc>
        <w:tc>
          <w:tcPr>
            <w:tcW w:type="dxa" w:w="3286"/>
          </w:tcPr>
          <w:p>
            <w:r>
              <w:t>Scenario simulation, audit and human oversight</w:t>
            </w:r>
          </w:p>
        </w:tc>
        <w:tc>
          <w:tcPr>
            <w:tcW w:type="dxa" w:w="3286"/>
          </w:tcPr>
          <w:p>
            <w:r>
              <w:t>Autonomous allocation of legal rights/resources</w:t>
            </w:r>
          </w:p>
        </w:tc>
      </w:tr>
      <w:tr>
        <w:tc>
          <w:tcPr>
            <w:tcW w:type="dxa" w:w="3286"/>
          </w:tcPr>
          <w:p>
            <w:r>
              <w:t>Cross-city interoperability</w:t>
            </w:r>
          </w:p>
        </w:tc>
        <w:tc>
          <w:tcPr>
            <w:tcW w:type="dxa" w:w="3286"/>
          </w:tcPr>
          <w:p>
            <w:r>
              <w:t>Standards dialogue and optional data interfaces</w:t>
            </w:r>
          </w:p>
        </w:tc>
        <w:tc>
          <w:tcPr>
            <w:tcW w:type="dxa" w:w="3286"/>
          </w:tcPr>
          <w:p>
            <w:r>
              <w:t>One global ID, supranational authority, automatic UCV settlement</w:t>
            </w:r>
          </w:p>
        </w:tc>
      </w:tr>
    </w:tbl>
    <w:p>
      <w:pPr>
        <w:pStyle w:val="Heading1"/>
      </w:pPr>
      <w:r>
        <w:t>5. Evidence discipline</w:t>
      </w:r>
    </w:p>
    <w:p>
      <w:r>
        <w:t>The historical package’s precise AGI survival probabilities and simulated superiority claims are excluded from this public candidate unless data, code, model specification and independent replication are supplied. AGI “mirror effect” remains a hypothesis for research and scenario analysis, not a demonstrated forecast.</w:t>
      </w:r>
    </w:p>
    <w:p>
      <w:pPr>
        <w:pStyle w:val="Heading1"/>
      </w:pPr>
      <w:r>
        <w:t>6. Recommended engagement sequence</w:t>
      </w:r>
    </w:p>
    <w:p>
      <w:pPr>
        <w:pStyle w:val="ListBullet"/>
      </w:pPr>
      <w:r>
        <w:t>First: legal, data-protection, AI-governance and finance scoping workshop.</w:t>
      </w:r>
    </w:p>
    <w:p>
      <w:pPr>
        <w:pStyle w:val="ListBullet"/>
      </w:pPr>
      <w:r>
        <w:t>Second: define one non-financial, opt-in pilot with measurable social or resilience outcomes.</w:t>
      </w:r>
    </w:p>
    <w:p>
      <w:pPr>
        <w:pStyle w:val="ListBullet"/>
      </w:pPr>
      <w:r>
        <w:t>Third: independent evaluation and publication of failure modes.</w:t>
      </w:r>
    </w:p>
    <w:p>
      <w:pPr>
        <w:pStyle w:val="ListBullet"/>
      </w:pPr>
      <w:r>
        <w:t>Only after those gates: consider whether a regulated sandbox or wider policy discussion is justified.</w:t>
      </w:r>
    </w:p>
    <w:p>
      <w:pPr>
        <w:pStyle w:val="Heading1"/>
      </w:pPr>
      <w:r>
        <w:t>External evidence and citation boundary</w:t>
      </w:r>
    </w:p>
    <w:p>
      <w:r>
        <w:t>The following sources verify only the explicitly identified real-world context and legal/regulatory boundaries. They do not constitute endorsement, acceptance, authorization or implementation of this proposal. Accessed 2026-09-03.</w:t>
      </w:r>
    </w:p>
    <w:p>
      <w:pPr>
        <w:ind w:left="200"/>
      </w:pPr>
      <w:r>
        <w:rPr>
          <w:b/>
        </w:rPr>
        <w:t xml:space="preserve">[1] DIFC | Data Protection Law No. 5 of 2020. </w:t>
      </w:r>
      <w:r>
        <w:t>https://www.difc.com/business/laws-and-regulations/legal-database/difc-laws/data-protection-law-difc-law-no-5-2020</w:t>
      </w:r>
      <w:r>
        <w:t xml:space="preserve"> — Confirms that DIFC has its own data-protection regime. It supports the document’s “jurisdiction first” boundary and does not authorize DCV, a financial sandbox, token, bond or exchange.</w:t>
      </w:r>
    </w:p>
    <w:p>
      <w:pPr>
        <w:ind w:left="200"/>
      </w:pPr>
      <w:r>
        <w:rPr>
          <w:b/>
        </w:rPr>
        <w:t xml:space="preserve">[2] DIFC | Commissioner of Data Protection. </w:t>
      </w:r>
      <w:r>
        <w:t>https://www.difc.com/business/registrars-and-commissioners/commissioner-of-data-protection</w:t>
      </w:r>
      <w:r>
        <w:t xml:space="preserve"> — Confirms independent DIFC supervision/enforcement for personal-data processing and individual rights; any AI/data pilot must identify the actual jurisdiction and controller responsibilities.</w:t>
      </w:r>
    </w:p>
    <w:p>
      <w:pPr>
        <w:pStyle w:val="Heading1"/>
      </w:pPr>
      <w:r>
        <w:rPr>
          <w:b/>
        </w:rPr>
        <w:t>Evidence classification / 证据分类</w:t>
      </w:r>
    </w:p>
    <w:p>
      <w:r>
        <w:t>Theory/proposal statements remain author-side research propositions. Real-world factual statements are limited to the cited institutional or legal background. Scenario assumptions and future institutional designs are explicitly non-factual and non-authorized unless separately evidenced.</w:t>
      </w:r>
    </w:p>
    <w:p>
      <w:pPr>
        <w:pStyle w:val="Heading1"/>
      </w:pPr>
      <w:r>
        <w:rPr>
          <w:b/>
        </w:rPr>
        <w:t>Version signature / 版本签名</w:t>
      </w:r>
    </w:p>
    <w:p>
      <w:r>
        <w:t>Permanent ID: P06-CITY-002</w:t>
      </w:r>
    </w:p>
    <w:p>
      <w:r>
        <w:t>Release status: CURRENT CONTROLLED PUBLIC RESEARCH / PUBLIC RELEASE</w:t>
      </w:r>
    </w:p>
    <w:p>
      <w:r>
        <w:t>Version: V1.1_SIGNED</w:t>
      </w:r>
    </w:p>
    <w:p>
      <w:r>
        <w:t>Signed date: 2026-09-03</w:t>
      </w:r>
    </w:p>
    <w:p>
      <w:r>
        <w:t>Parent candidate SHA-256 (C5-A3): 36a38f5bb14b1068dcb05f3b032dd52976318c799c6230b63eeaa169b0401ccb</w:t>
      </w:r>
    </w:p>
    <w:p>
      <w:r>
        <w:t>Signed input SHA-256 (C5-A4): 03585cfefeda16a14b107f17105a04621d8d2ca02a0064ea4177fa059f1023b7</w:t>
      </w:r>
    </w:p>
    <w:p>
      <w:r>
        <w:t>Public publication slug: p06-city-002</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eastAsia="等线"/>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