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P06-CITY-003｜香港：AGI时代的城市制度适配研究</w:t>
      </w:r>
    </w:p>
    <w:p>
      <w:pPr>
        <w:jc w:val="center"/>
      </w:pPr>
      <w:r>
        <w:rPr>
          <w:b/>
        </w:rPr>
        <w:t>城市定向政策情景／研究提案｜HCV从“社会操作系统”降为可验证的增量协作工具</w:t>
      </w:r>
    </w:p>
    <w:p>
      <w:pPr>
        <w:jc w:val="center"/>
      </w:pPr>
      <w:r>
        <w:t>V1.1｜2026-09-03｜子君赋｜文明跃迁研究组</w:t>
        <w:br/>
        <w:t>CONTROLLED PUBLIC RESEARCH RELEASE</w:t>
      </w:r>
    </w:p>
    <w:p>
      <w:r>
        <w:t>说明：本稿是依据 C5-A1 已冻结的身份/版本关系与 C5-A2 已冻结的事实、权利、法域和现实效力边界形成的受控重写稿。它不证明任何政府、机构、企业或城市已受理、授权、立项、合作或实施。所有具体试验、数据处理、金融安排、公共资源连接与跨法域机制，均须在真实主体、适用法律、监管许可、预算和受影响者程序明确后另行审查。</w:t>
      </w:r>
    </w:p>
    <w:p>
      <w:pPr>
        <w:pStyle w:val="Heading1"/>
      </w:pPr>
      <w:r>
        <w:t>一、问题与现实背景</w:t>
      </w:r>
    </w:p>
    <w:p>
      <w:r>
        <w:t>香港拥有成熟法治、国际金融与专业服务体系，并正在推进北部都会区、新田科技城和数字政府基础设施。这些现实条件使香港适合研究：在高密度、跨境、金融化程度高的城市环境中，如何以可审计、可退出的方式改善公共协作与社会韧性。它们不意味着“HCV国家沙盒”或特定立法、兑换机制已经存在。</w:t>
      </w:r>
    </w:p>
    <w:p>
      <w:pPr>
        <w:pStyle w:val="Heading1"/>
      </w:pPr>
      <w:r>
        <w:t>二、HCV的重新定义</w:t>
      </w:r>
    </w:p>
    <w:p>
      <w:r>
        <w:t>HCV在本稿中不是货币、证券、信用分、治理权或公共服务资格。它被限定为“自愿项目贡献记录与反馈机制”：用于记录经过明确规则确认的社区、科研、生态、文化与跨境协作贡献，并研究非排他性激励是否能提高协作质量。</w:t>
      </w:r>
    </w:p>
    <w:p>
      <w:pPr>
        <w:pStyle w:val="Heading1"/>
      </w:pPr>
      <w:r>
        <w:t>三、不可越过的公共边界</w:t>
      </w:r>
    </w:p>
    <w:p>
      <w:pPr>
        <w:pStyle w:val="ListBullet"/>
      </w:pPr>
      <w:r>
        <w:t>公屋轮候、基础医疗、学位与基本教育机会不得以HCV余额作为直接门槛或优先级依据。</w:t>
      </w:r>
    </w:p>
    <w:p>
      <w:pPr>
        <w:pStyle w:val="ListBullet"/>
      </w:pPr>
      <w:r>
        <w:t>普遍公共治理资格、选举权、法定权利和身份地位不得与HCV挂钩。</w:t>
      </w:r>
    </w:p>
    <w:p>
      <w:pPr>
        <w:pStyle w:val="ListBullet"/>
      </w:pPr>
      <w:r>
        <w:t>HCV不得预设与港币兑换、发行债券、建立交易所或形成资产类别；任何金融实验须由适用监管框架另行判断。</w:t>
      </w:r>
    </w:p>
    <w:p>
      <w:pPr>
        <w:pStyle w:val="ListBullet"/>
      </w:pPr>
      <w:r>
        <w:t>个人数据必须遵循目的限定、最小必要、授权、可撤回、保留期限和安全审计；不能因“贡献评估”而形成全域行为画像。</w:t>
      </w:r>
    </w:p>
    <w:p>
      <w:pPr>
        <w:pStyle w:val="Heading1"/>
      </w:pPr>
      <w:r>
        <w:t>四、建议优先研究的低风险模块</w:t>
      </w:r>
    </w:p>
    <w:tbl>
      <w:tblPr>
        <w:tblStyle w:val="TableGrid"/>
        <w:tblW w:type="auto" w:w="0"/>
        <w:jc w:val="center"/>
        <w:tblLook w:firstColumn="1" w:firstRow="1" w:lastColumn="0" w:lastRow="0" w:noHBand="0" w:noVBand="1" w:val="04A0"/>
      </w:tblPr>
      <w:tblGrid>
        <w:gridCol w:w="3286"/>
        <w:gridCol w:w="3286"/>
        <w:gridCol w:w="3286"/>
      </w:tblGrid>
      <w:tr>
        <w:tc>
          <w:tcPr>
            <w:tcW w:type="dxa" w:w="3286"/>
            <w:shd w:fill="D9EAF7"/>
            <w:vAlign w:val="center"/>
          </w:tcPr>
          <w:p>
            <w:r>
              <w:rPr>
                <w:b/>
              </w:rPr>
              <w:t>模块</w:t>
            </w:r>
          </w:p>
        </w:tc>
        <w:tc>
          <w:tcPr>
            <w:tcW w:type="dxa" w:w="3286"/>
            <w:shd w:fill="D9EAF7"/>
            <w:vAlign w:val="center"/>
          </w:tcPr>
          <w:p>
            <w:r>
              <w:rPr>
                <w:b/>
              </w:rPr>
              <w:t>研究问题</w:t>
            </w:r>
          </w:p>
        </w:tc>
        <w:tc>
          <w:tcPr>
            <w:tcW w:type="dxa" w:w="3286"/>
            <w:shd w:fill="D9EAF7"/>
            <w:vAlign w:val="center"/>
          </w:tcPr>
          <w:p>
            <w:r>
              <w:rPr>
                <w:b/>
              </w:rPr>
              <w:t>边界</w:t>
            </w:r>
          </w:p>
        </w:tc>
      </w:tr>
      <w:tr>
        <w:tc>
          <w:tcPr>
            <w:tcW w:type="dxa" w:w="3286"/>
          </w:tcPr>
          <w:p>
            <w:r>
              <w:t>社区协作</w:t>
            </w:r>
          </w:p>
        </w:tc>
        <w:tc>
          <w:tcPr>
            <w:tcW w:type="dxa" w:w="3286"/>
          </w:tcPr>
          <w:p>
            <w:r>
              <w:t>共享空间、跨代际/跨文化互助是否改善社会连接</w:t>
            </w:r>
          </w:p>
        </w:tc>
        <w:tc>
          <w:tcPr>
            <w:tcW w:type="dxa" w:w="3286"/>
          </w:tcPr>
          <w:p>
            <w:r>
              <w:t>奖励限于自愿增量体验，不改变基本公共权利</w:t>
            </w:r>
          </w:p>
        </w:tc>
      </w:tr>
      <w:tr>
        <w:tc>
          <w:tcPr>
            <w:tcW w:type="dxa" w:w="3286"/>
          </w:tcPr>
          <w:p>
            <w:r>
              <w:t>城市生态</w:t>
            </w:r>
          </w:p>
        </w:tc>
        <w:tc>
          <w:tcPr>
            <w:tcW w:type="dxa" w:w="3286"/>
          </w:tcPr>
          <w:p>
            <w:r>
              <w:t>屋顶种植、资源循环、社区食物网络是否提高韧性</w:t>
            </w:r>
          </w:p>
        </w:tc>
        <w:tc>
          <w:tcPr>
            <w:tcW w:type="dxa" w:w="3286"/>
          </w:tcPr>
          <w:p>
            <w:r>
              <w:t>按真实环境绩效评价</w:t>
            </w:r>
          </w:p>
        </w:tc>
      </w:tr>
      <w:tr>
        <w:tc>
          <w:tcPr>
            <w:tcW w:type="dxa" w:w="3286"/>
          </w:tcPr>
          <w:p>
            <w:r>
              <w:t>教育项目</w:t>
            </w:r>
          </w:p>
        </w:tc>
        <w:tc>
          <w:tcPr>
            <w:tcW w:type="dxa" w:w="3286"/>
          </w:tcPr>
          <w:p>
            <w:r>
              <w:t>大学生参与真实公共问题是否提升能力与公共参与</w:t>
            </w:r>
          </w:p>
        </w:tc>
        <w:tc>
          <w:tcPr>
            <w:tcW w:type="dxa" w:w="3286"/>
          </w:tcPr>
          <w:p>
            <w:r>
              <w:t>不与招生、学位、基本课程资格绑定</w:t>
            </w:r>
          </w:p>
        </w:tc>
      </w:tr>
      <w:tr>
        <w:tc>
          <w:tcPr>
            <w:tcW w:type="dxa" w:w="3286"/>
          </w:tcPr>
          <w:p>
            <w:r>
              <w:t>健康促进</w:t>
            </w:r>
          </w:p>
        </w:tc>
        <w:tc>
          <w:tcPr>
            <w:tcW w:type="dxa" w:w="3286"/>
          </w:tcPr>
          <w:p>
            <w:r>
              <w:t>自愿健康目标与非医疗性福利是否有效</w:t>
            </w:r>
          </w:p>
        </w:tc>
        <w:tc>
          <w:tcPr>
            <w:tcW w:type="dxa" w:w="3286"/>
          </w:tcPr>
          <w:p>
            <w:r>
              <w:t>临床优先级完全独立</w:t>
            </w:r>
          </w:p>
        </w:tc>
      </w:tr>
      <w:tr>
        <w:tc>
          <w:tcPr>
            <w:tcW w:type="dxa" w:w="3286"/>
          </w:tcPr>
          <w:p>
            <w:r>
              <w:t>跨境研究</w:t>
            </w:r>
          </w:p>
        </w:tc>
        <w:tc>
          <w:tcPr>
            <w:tcW w:type="dxa" w:w="3286"/>
          </w:tcPr>
          <w:p>
            <w:r>
              <w:t>在明确法域与目的下研究数据/服务互操作</w:t>
            </w:r>
          </w:p>
        </w:tc>
        <w:tc>
          <w:tcPr>
            <w:tcW w:type="dxa" w:w="3286"/>
          </w:tcPr>
          <w:p>
            <w:r>
              <w:t>逐项目审批、最小数据、退出与删除机制</w:t>
            </w:r>
          </w:p>
        </w:tc>
      </w:tr>
    </w:tbl>
    <w:p>
      <w:pPr>
        <w:pStyle w:val="Heading1"/>
      </w:pPr>
      <w:r>
        <w:t>五、证据纪律</w:t>
      </w:r>
    </w:p>
    <w:p>
      <w:r>
        <w:t>旧稿中的“99.7%清除概率”“98.2%保护概率”等精确数值在没有随文数据、代码、参数与独立复现前全部退出公共候选正文。关于AGI风险只保留为需要进一步研究的机制假设，不写成确定预测。</w:t>
      </w:r>
    </w:p>
    <w:p>
      <w:pPr>
        <w:pStyle w:val="Heading1"/>
      </w:pPr>
      <w:r>
        <w:t>六、对政府与机构的表达方式</w:t>
      </w:r>
    </w:p>
    <w:p>
      <w:r>
        <w:t>所有“立即启动”“最终呈报”“第三次建国级机遇”等动员性措辞均改为作者方建议。更合适的第一步不是要求授权完整社会操作系统，而是邀请法律、数据、金融、社会政策和AI安全专家共同评估若干低风险研究模块是否值得开展。</w:t>
      </w:r>
    </w:p>
    <w:p>
      <w:pPr>
        <w:pStyle w:val="Heading1"/>
      </w:pPr>
      <w:r>
        <w:t>七、建议的最小下一步</w:t>
      </w:r>
    </w:p>
    <w:p>
      <w:pPr>
        <w:pStyle w:val="ListBullet"/>
      </w:pPr>
      <w:r>
        <w:t>建立跨学科研究议题清单，而非先设立HCV制度。</w:t>
      </w:r>
    </w:p>
    <w:p>
      <w:pPr>
        <w:pStyle w:val="ListBullet"/>
      </w:pPr>
      <w:r>
        <w:t>选择1-2个完全自愿、非基本权利相关的社区/科研项目做可撤回试验。</w:t>
      </w:r>
    </w:p>
    <w:p>
      <w:pPr>
        <w:pStyle w:val="ListBullet"/>
      </w:pPr>
      <w:r>
        <w:t>预先发布数据治理、申诉、审计、停止和失败报告规则。</w:t>
      </w:r>
    </w:p>
    <w:p>
      <w:pPr>
        <w:pStyle w:val="ListBullet"/>
      </w:pPr>
      <w:r>
        <w:t>任何扩大范围必须以独立评估证明净收益且无不可接受权利副作用为前提。</w:t>
      </w:r>
    </w:p>
    <w:p>
      <w:pPr>
        <w:pStyle w:val="Heading1"/>
      </w:pPr>
      <w:r>
        <w:rPr>
          <w:b/>
        </w:rPr>
        <w:t>外部证据与引用边界</w:t>
      </w:r>
    </w:p>
    <w:p>
      <w:r>
        <w:t>以下来源仅用于核验文中明确标识的现实背景与法域边界，不构成有关机构对本文方案的认可、受理、授权或实施证据。检索日期：2026-09-03。</w:t>
      </w:r>
    </w:p>
    <w:p>
      <w:pPr>
        <w:ind w:left="200"/>
      </w:pPr>
      <w:r>
        <w:rPr>
          <w:b/>
        </w:rPr>
        <w:t xml:space="preserve">[1] 香港数字政策办公室｜iAM Smart. </w:t>
      </w:r>
      <w:r>
        <w:t>https://www.digitalpolicy.gov.hk/en/our_work/data_governance/common_data_platforms/iam_smart/</w:t>
      </w:r>
      <w:r>
        <w:t xml:space="preserve"> — 核验香港现实存在统一数字身份与一站式数字服务基础设施；不支持HCV接入、贡献评分或公共资源分配用途已获批准。</w:t>
      </w:r>
    </w:p>
    <w:p>
      <w:pPr>
        <w:ind w:left="200"/>
      </w:pPr>
      <w:r>
        <w:rPr>
          <w:b/>
        </w:rPr>
        <w:t xml:space="preserve">[2] 香港特别行政区政府｜2026-27财政预算案：Northern Metropolis. </w:t>
      </w:r>
      <w:r>
        <w:t>https://www.budget.gov.hk/2026/eng/budget36.html</w:t>
      </w:r>
      <w:r>
        <w:t xml:space="preserve"> — 核验北部都会区与新田科技城相关建设推进；不支持“HCV国家沙盒”或特定HCV立法已经存在。</w:t>
      </w:r>
    </w:p>
    <w:p>
      <w:pPr>
        <w:pStyle w:val="Heading1"/>
      </w:pPr>
      <w:r>
        <w:rPr>
          <w:b/>
        </w:rPr>
        <w:t>Evidence classification / 证据分类</w:t>
      </w:r>
    </w:p>
    <w:p>
      <w:r>
        <w:t>本文中的理论命题与制度设计属于作者方研究主张；现实事实仅限上述来源可支持的背景；未来机构设计、时间表、试点规模、资金安排和政策路径均属于情景/建议，不属于已发生事实或现实授权。</w:t>
      </w:r>
    </w:p>
    <w:p>
      <w:pPr>
        <w:pStyle w:val="Heading1"/>
      </w:pPr>
      <w:r>
        <w:rPr>
          <w:b/>
        </w:rPr>
        <w:t>Version signature / 版本签名</w:t>
      </w:r>
    </w:p>
    <w:p>
      <w:r>
        <w:t>Permanent ID: P06-CITY-003</w:t>
      </w:r>
    </w:p>
    <w:p>
      <w:r>
        <w:t>Release status: CURRENT CONTROLLED PUBLIC RESEARCH / PUBLIC RELEASE</w:t>
      </w:r>
    </w:p>
    <w:p>
      <w:r>
        <w:t>Version: V1.1_SIGNED</w:t>
      </w:r>
    </w:p>
    <w:p>
      <w:r>
        <w:t>Signed date: 2026-09-03</w:t>
      </w:r>
    </w:p>
    <w:p>
      <w:r>
        <w:t>Parent candidate SHA-256 (C5-A3): fdd34d64def198d219bc04029171ec7d8a23b8c49b2738c3bcbc5cbf392cf5c6</w:t>
      </w:r>
    </w:p>
    <w:p>
      <w:r>
        <w:t>Signed input SHA-256 (C5-A4): 105b7ed4ee72eab8805fd7d1f5f729bea56bf574374b2a7d708b59105d62d273</w:t>
      </w:r>
    </w:p>
    <w:p>
      <w:r>
        <w:t>Public publication slug: p06-city-003</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等线"/>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