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P06-CITY-004｜全球文明跃迁城市互操作研究网络</w:t>
      </w:r>
    </w:p>
    <w:p>
      <w:pPr>
        <w:jc w:val="center"/>
      </w:pPr>
      <w:r>
        <w:rPr>
          <w:b/>
        </w:rPr>
        <w:t>跨城市治理概念压力测试受控公共候选｜从“统一联盟”改为“自愿互操作”</w:t>
      </w:r>
    </w:p>
    <w:p>
      <w:pPr>
        <w:jc w:val="center"/>
      </w:pPr>
      <w:r>
        <w:t>V1.1｜2026-09-03｜子君赋｜文明跃迁研究组</w:t>
        <w:br/>
        <w:t>CONTROLLED PUBLIC RESEARCH RELEASE</w:t>
      </w:r>
    </w:p>
    <w:p>
      <w:r>
        <w:t>说明：本稿是依据 C5-A1 已冻结的身份/版本关系与 C5-A2 已冻结的事实、权利、法域和现实效力边界形成的受控重写稿。它不证明任何政府、机构、企业或城市已受理、授权、立项、合作或实施。所有具体试验、数据处理、金融安排、公共资源连接与跨法域机制，均须在真实主体、适用法律、监管许可、预算和受影响者程序明确后另行审查。</w:t>
      </w:r>
    </w:p>
    <w:p>
      <w:pPr>
        <w:pStyle w:val="Heading1"/>
      </w:pPr>
      <w:r>
        <w:t>一、重新定义网络</w:t>
      </w:r>
    </w:p>
    <w:p>
      <w:r>
        <w:t>本网络不是世界政府、城市联盟法院、统一货币区或统一身份体系。它是城市、研究机构与社会技术团队之间的自愿研究协作框架，用于测试不同法域如何在保持主权、法律责任和退出权的前提下，共享方法、标准、失败经验和有限数据接口。</w:t>
      </w:r>
    </w:p>
    <w:p>
      <w:pPr>
        <w:pStyle w:val="Heading1"/>
      </w:pPr>
      <w:r>
        <w:t>二、五项互操作原则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929"/>
            <w:shd w:fill="D9EAF7"/>
            <w:vAlign w:val="center"/>
          </w:tcPr>
          <w:p>
            <w:r>
              <w:rPr>
                <w:b/>
              </w:rPr>
              <w:t>旧构想</w:t>
            </w:r>
          </w:p>
        </w:tc>
        <w:tc>
          <w:tcPr>
            <w:tcW w:type="dxa" w:w="4929"/>
            <w:shd w:fill="D9EAF7"/>
            <w:vAlign w:val="center"/>
          </w:tcPr>
          <w:p>
            <w:r>
              <w:rPr>
                <w:b/>
              </w:rPr>
              <w:t>受控重写</w:t>
            </w:r>
          </w:p>
        </w:tc>
      </w:tr>
      <w:tr>
        <w:tc>
          <w:tcPr>
            <w:tcW w:type="dxa" w:w="4929"/>
          </w:tcPr>
          <w:p>
            <w:r>
              <w:t>一码通行</w:t>
            </w:r>
          </w:p>
        </w:tc>
        <w:tc>
          <w:tcPr>
            <w:tcW w:type="dxa" w:w="4929"/>
          </w:tcPr>
          <w:p>
            <w:r>
              <w:t>身份仍由各法域管理；只研究最小必要的凭证互认</w:t>
            </w:r>
          </w:p>
        </w:tc>
      </w:tr>
      <w:tr>
        <w:tc>
          <w:tcPr>
            <w:tcW w:type="dxa" w:w="4929"/>
          </w:tcPr>
          <w:p>
            <w:r>
              <w:t>资源通兑</w:t>
            </w:r>
          </w:p>
        </w:tc>
        <w:tc>
          <w:tcPr>
            <w:tcW w:type="dxa" w:w="4929"/>
          </w:tcPr>
          <w:p>
            <w:r>
              <w:t>资源共享完全自愿、合同化、可撤回，不产生跨城公共权利</w:t>
            </w:r>
          </w:p>
        </w:tc>
      </w:tr>
      <w:tr>
        <w:tc>
          <w:tcPr>
            <w:tcW w:type="dxa" w:w="4929"/>
          </w:tcPr>
          <w:p>
            <w:r>
              <w:t>人才通流</w:t>
            </w:r>
          </w:p>
        </w:tc>
        <w:tc>
          <w:tcPr>
            <w:tcW w:type="dxa" w:w="4929"/>
          </w:tcPr>
          <w:p>
            <w:r>
              <w:t>人员流动服从各地移民、劳动、教育和专业资格规则</w:t>
            </w:r>
          </w:p>
        </w:tc>
      </w:tr>
      <w:tr>
        <w:tc>
          <w:tcPr>
            <w:tcW w:type="dxa" w:w="4929"/>
          </w:tcPr>
          <w:p>
            <w:r>
              <w:t>数据通联</w:t>
            </w:r>
          </w:p>
        </w:tc>
        <w:tc>
          <w:tcPr>
            <w:tcW w:type="dxa" w:w="4929"/>
          </w:tcPr>
          <w:p>
            <w:r>
              <w:t>最小数据、目的限定、逐法域合法性、可停止接口</w:t>
            </w:r>
          </w:p>
        </w:tc>
      </w:tr>
      <w:tr>
        <w:tc>
          <w:tcPr>
            <w:tcW w:type="dxa" w:w="4929"/>
          </w:tcPr>
          <w:p>
            <w:r>
              <w:t>规则通识</w:t>
            </w:r>
          </w:p>
        </w:tc>
        <w:tc>
          <w:tcPr>
            <w:tcW w:type="dxa" w:w="4929"/>
          </w:tcPr>
          <w:p>
            <w:r>
              <w:t>只形成非约束共同原则/技术标准，不设超法域治理权</w:t>
            </w:r>
          </w:p>
        </w:tc>
      </w:tr>
    </w:tbl>
    <w:p>
      <w:pPr>
        <w:pStyle w:val="Heading1"/>
      </w:pPr>
      <w:r>
        <w:t>三、网络治理</w:t>
      </w:r>
    </w:p>
    <w:p>
      <w:pPr>
        <w:pStyle w:val="ListBullet"/>
      </w:pPr>
      <w:r>
        <w:t>成员自愿加入和退出；不设“常任理事”特权。</w:t>
      </w:r>
    </w:p>
    <w:p>
      <w:pPr>
        <w:pStyle w:val="ListBullet"/>
      </w:pPr>
      <w:r>
        <w:t>每个项目单独签署责任、数据、资金、知识产权和争议解决条款。</w:t>
      </w:r>
    </w:p>
    <w:p>
      <w:pPr>
        <w:pStyle w:val="ListBullet"/>
      </w:pPr>
      <w:r>
        <w:t>不存在“贡献值加权”的城市政治权力。</w:t>
      </w:r>
    </w:p>
    <w:p>
      <w:pPr>
        <w:pStyle w:val="ListBullet"/>
      </w:pPr>
      <w:r>
        <w:t>争议优先回到既有合同、仲裁或法院体系；网络自身不设最高法院。</w:t>
      </w:r>
    </w:p>
    <w:p>
      <w:pPr>
        <w:pStyle w:val="ListBullet"/>
      </w:pPr>
      <w:r>
        <w:t>任何共同标准均为自愿采用，不能替代国家/地区法律。</w:t>
      </w:r>
    </w:p>
    <w:p>
      <w:pPr>
        <w:pStyle w:val="Heading1"/>
      </w:pPr>
      <w:r>
        <w:t>四、UCV的重新定位</w:t>
      </w:r>
    </w:p>
    <w:p>
      <w:r>
        <w:t>UCV不再作为跨城市货币、储备价值、统一福利或治理权。若保留概念，只作为“跨项目贡献描述协议”的研究代号，用来比较不同项目如何记录可验证贡献。跨境结算继续使用现有合法支付与金融体系。</w:t>
      </w:r>
    </w:p>
    <w:p>
      <w:pPr>
        <w:pStyle w:val="Heading1"/>
      </w:pPr>
      <w:r>
        <w:t>五、优先合作内容</w:t>
      </w:r>
    </w:p>
    <w:p>
      <w:pPr>
        <w:pStyle w:val="ListBullet"/>
      </w:pPr>
      <w:r>
        <w:t>城市韧性与危机应对方法库。</w:t>
      </w:r>
    </w:p>
    <w:p>
      <w:pPr>
        <w:pStyle w:val="ListBullet"/>
      </w:pPr>
      <w:r>
        <w:t>隐私保护的数据互操作与城市信息模型。</w:t>
      </w:r>
    </w:p>
    <w:p>
      <w:pPr>
        <w:pStyle w:val="ListBullet"/>
      </w:pPr>
      <w:r>
        <w:t>教育、生态、社区互助、无障碍与公共健康等低风险社会技术模块。</w:t>
      </w:r>
    </w:p>
    <w:p>
      <w:pPr>
        <w:pStyle w:val="ListBullet"/>
      </w:pPr>
      <w:r>
        <w:t>AI治理的审计、模拟、停止与责任机制。</w:t>
      </w:r>
    </w:p>
    <w:p>
      <w:pPr>
        <w:pStyle w:val="ListBullet"/>
      </w:pPr>
      <w:r>
        <w:t>公开失败案例、负面结果和不可迁移条件，防止“成功模板”神话。</w:t>
      </w:r>
    </w:p>
    <w:p>
      <w:pPr>
        <w:pStyle w:val="Heading1"/>
      </w:pPr>
      <w:r>
        <w:t>六、启动方式</w:t>
      </w:r>
    </w:p>
    <w:p>
      <w:r>
        <w:t>第一阶段只建议建立研究共同体和项目登记规范，不指定十大城市已同意加入，不预设部长级磋商、迪拜宣言、UCV跨境流通或联盟债券。任何城市名称只可作为潜在研究场景示例，实际参与必须有直接证据。</w:t>
      </w:r>
    </w:p>
    <w:p>
      <w:pPr>
        <w:pStyle w:val="Heading1"/>
      </w:pPr>
      <w:r>
        <w:t>七、文明意义</w:t>
      </w:r>
    </w:p>
    <w:p>
      <w:r>
        <w:t>真正值得验证的，不是能否建立一个凌驾城市之上的统一体系，而是多法域、多文化、多利益主体能否在不交出基本权利与主权边界的情况下，仍然形成更高质量的合作。这一难题本身，才是跨城市文明跃迁研究的核心。</w:t>
      </w:r>
    </w:p>
    <w:p>
      <w:pPr>
        <w:pStyle w:val="Heading1"/>
      </w:pPr>
      <w:r>
        <w:rPr>
          <w:b/>
        </w:rPr>
        <w:t>外部证据与引用边界</w:t>
      </w:r>
    </w:p>
    <w:p>
      <w:r>
        <w:t>以下来源仅用于核验文中明确标识的现实背景与法域边界，不构成有关机构对本文方案的认可、受理、授权或实施证据。检索日期：2026-09-03。</w:t>
      </w:r>
    </w:p>
    <w:p>
      <w:pPr>
        <w:ind w:left="200"/>
      </w:pPr>
      <w:r>
        <w:rPr>
          <w:b/>
        </w:rPr>
        <w:t xml:space="preserve">[1] ISO 37106:2021 | Sustainable cities and communities. </w:t>
      </w:r>
      <w:r>
        <w:t>https://www.iso.org/standard/82854.html</w:t>
      </w:r>
      <w:r>
        <w:t xml:space="preserve"> — 该标准强调开放、协作、公民中心和非“一刀切”的城市运行模型，为“自愿互操作、保持城市自身制度边界”的研究取向提供背景参照；它不支持建立统一身份、联盟法院或超国家治理权。</w:t>
      </w:r>
    </w:p>
    <w:p>
      <w:pPr>
        <w:pStyle w:val="Heading1"/>
      </w:pPr>
      <w:r>
        <w:rPr>
          <w:b/>
        </w:rPr>
        <w:t>Evidence classification / 证据分类</w:t>
      </w:r>
    </w:p>
    <w:p>
      <w:r>
        <w:t>本文中的理论命题与制度设计属于作者方研究主张；现实事实仅限上述来源可支持的背景；未来机构设计、时间表、试点规模、资金安排和政策路径均属于情景/建议，不属于已发生事实或现实授权。</w:t>
      </w:r>
    </w:p>
    <w:p>
      <w:pPr>
        <w:pStyle w:val="Heading1"/>
      </w:pPr>
      <w:r>
        <w:rPr>
          <w:b/>
        </w:rPr>
        <w:t>Version signature / 版本签名</w:t>
      </w:r>
    </w:p>
    <w:p>
      <w:r>
        <w:t>Permanent ID: P06-CITY-004</w:t>
      </w:r>
    </w:p>
    <w:p>
      <w:r>
        <w:t>Release status: CURRENT CONTROLLED PUBLIC RESEARCH / PUBLIC RELEASE</w:t>
      </w:r>
    </w:p>
    <w:p>
      <w:r>
        <w:t>Version: V1.1_SIGNED</w:t>
      </w:r>
    </w:p>
    <w:p>
      <w:r>
        <w:t>Signed date: 2026-09-03</w:t>
      </w:r>
    </w:p>
    <w:p>
      <w:r>
        <w:t>Parent candidate SHA-256 (C5-A3): 037d670b274fbf529f46d331ffaf5d9b3dda83cd37fc2a7f09a15c42e062aa69</w:t>
      </w:r>
    </w:p>
    <w:p>
      <w:r>
        <w:t>Signed input SHA-256 (C5-A4): 0d355c2ef0486a89b1bbafd2487eb4d5a567408900b70642c02571546ddbaed8</w:t>
      </w:r>
    </w:p>
    <w:p>
      <w:r>
        <w:t>Public publication slug: p06-city-004</w:t>
      </w:r>
    </w:p>
    <w:sectPr w:rsidR="00FC693F" w:rsidRPr="0006063C" w:rsidSect="00034616">
      <w:pgSz w:w="12240" w:h="15840"/>
      <w:pgMar w:top="1020" w:right="1191" w:bottom="1020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SC" w:hAnsi="Noto Sans CJK SC" w:eastAsia="等线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