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b/>
        </w:rPr>
        <w:t>P06-CITY-005｜全球圆梦校园网络：新加坡试点研究</w:t>
      </w:r>
    </w:p>
    <w:p>
      <w:pPr>
        <w:jc w:val="center"/>
      </w:pPr>
      <w:r/>
      <w:r>
        <w:t>Public Research Release｜V1.1｜2026-09-03｜子君赋｜文明跃迁研究组</w:t>
      </w:r>
    </w:p>
    <w:p>
      <w:r>
        <w:t>本稿源自17页历史直接内容源，经C5既有事实、权利、法域与校园/青年保护边界重新落稿。它是研究提案，不证明任何政府、大学、企业或国际组织已受理、支持、合作、授权或实施。</w:t>
      </w:r>
    </w:p>
    <w:p>
      <w:pPr>
        <w:pStyle w:val="Heading1"/>
      </w:pPr>
      <w:r>
        <w:t>1. 研究目的</w:t>
      </w:r>
    </w:p>
    <w:p>
      <w:r>
        <w:t>研究一个自愿参与的跨校园贡献记录与意义传承网络：让辅导、知识分享、物品循环、跨文化协作等可被参与者记录、感谢和引用，并评估非物质认可是否增强校园互助、归属感、跨文化理解与代际连接。</w:t>
      </w:r>
    </w:p>
    <w:p>
      <w:pPr>
        <w:pStyle w:val="Heading1"/>
      </w:pPr>
      <w:r>
        <w:t>2. 与新加坡城市研究母线的关系</w:t>
      </w:r>
    </w:p>
    <w:p>
      <w:r>
        <w:t>本资产是 P06-CITY-001 的校园专项子资产。城市主稿研究更广泛的自愿公民激励、模块化社会创新与AI辅助政策分析；本稿只研究校园/青年场景，不把校园试验外推为国家社会操作系统。</w:t>
      </w:r>
    </w:p>
    <w:p>
      <w:pPr>
        <w:pStyle w:val="Heading1"/>
      </w:pPr>
      <w:r>
        <w:t>3. 非谈判边界</w:t>
      </w:r>
    </w:p>
    <w:p>
      <w:pPr>
        <w:pStyle w:val="ListBullet"/>
      </w:pPr>
      <w:r>
        <w:t>贡献记录不是人格评分、社会信用、纪律权力、国家身份层或普遍治理资格。</w:t>
      </w:r>
    </w:p>
    <w:p>
      <w:pPr>
        <w:pStyle w:val="ListBullet"/>
      </w:pPr>
      <w:r>
        <w:t>招生、奖学金、宿舍、交换机会、必修课程、基础教育资源与其他重要机会不得由贡献余额直接决定。</w:t>
      </w:r>
    </w:p>
    <w:p>
      <w:pPr>
        <w:pStyle w:val="ListBullet"/>
      </w:pPr>
      <w:r>
        <w:t>激励以自愿、非排他、非物质认可为主，不挤占他人基线权益。</w:t>
      </w:r>
    </w:p>
    <w:p>
      <w:pPr>
        <w:pStyle w:val="ListBullet"/>
      </w:pPr>
      <w:r>
        <w:t>不得因低贡献、退出研究或拒绝数据共享而降低学生的基线权利、教育机会或学校服务。</w:t>
      </w:r>
    </w:p>
    <w:p>
      <w:pPr>
        <w:pStyle w:val="Heading1"/>
      </w:pPr>
      <w:r>
        <w:t>4. 数据与AI治理</w:t>
      </w:r>
    </w:p>
    <w:p>
      <w:pPr>
        <w:pStyle w:val="ListBullet"/>
      </w:pPr>
      <w:r>
        <w:t>只收集特定研究或服务所必要的数据；目的、使用者、保留期限与退出路径应事前明确。</w:t>
      </w:r>
    </w:p>
    <w:p>
      <w:pPr>
        <w:pStyle w:val="ListBullet"/>
      </w:pPr>
      <w:r>
        <w:t>Singpass/Myinfo不作为通用行为评分底座；任何实际接入必须由真实服务主体另行评估。</w:t>
      </w:r>
    </w:p>
    <w:p>
      <w:pPr>
        <w:pStyle w:val="ListBullet"/>
      </w:pPr>
      <w:r>
        <w:t>不以恐惧画像或其他高敏感心理推断作为默认匹配依据。</w:t>
      </w:r>
    </w:p>
    <w:p>
      <w:pPr>
        <w:pStyle w:val="ListBullet"/>
      </w:pPr>
      <w:r>
        <w:t>贡献记录不得自动进入AGI训练；机器学习用途必须作为独立目的重新审查。</w:t>
      </w:r>
    </w:p>
    <w:p>
      <w:pPr>
        <w:pStyle w:val="ListBullet"/>
      </w:pPr>
      <w:r>
        <w:t>不承诺原始个人数据永久保存；凭证、统计结果与原始数据分层治理并支持纠错、撤回和删除/去标识化。</w:t>
      </w:r>
    </w:p>
    <w:p>
      <w:pPr>
        <w:pStyle w:val="Heading1"/>
      </w:pPr>
      <w:r>
        <w:t>5. 低风险研究模块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fill="D9EAF7"/>
          </w:tcPr>
          <w:p>
            <w:r>
              <w:t>模块</w:t>
            </w:r>
          </w:p>
        </w:tc>
        <w:tc>
          <w:tcPr>
            <w:tcW w:type="dxa" w:w="3324"/>
            <w:shd w:fill="D9EAF7"/>
          </w:tcPr>
          <w:p>
            <w:r>
              <w:t>研究问题</w:t>
            </w:r>
          </w:p>
        </w:tc>
        <w:tc>
          <w:tcPr>
            <w:tcW w:type="dxa" w:w="3324"/>
            <w:shd w:fill="D9EAF7"/>
          </w:tcPr>
          <w:p>
            <w:r>
              <w:t>控制边界</w:t>
            </w:r>
          </w:p>
        </w:tc>
      </w:tr>
      <w:tr>
        <w:tc>
          <w:tcPr>
            <w:tcW w:type="dxa" w:w="3324"/>
          </w:tcPr>
          <w:p>
            <w:r>
              <w:t>同伴互助</w:t>
            </w:r>
          </w:p>
        </w:tc>
        <w:tc>
          <w:tcPr>
            <w:tcW w:type="dxa" w:w="3324"/>
          </w:tcPr>
          <w:p>
            <w:r>
              <w:t>感谢与自愿记录是否增强互助持续性？</w:t>
            </w:r>
          </w:p>
        </w:tc>
        <w:tc>
          <w:tcPr>
            <w:tcW w:type="dxa" w:w="3324"/>
          </w:tcPr>
          <w:p>
            <w:r>
              <w:t>不形成排名；可匿名/私密；可撤回</w:t>
            </w:r>
          </w:p>
        </w:tc>
      </w:tr>
      <w:tr>
        <w:tc>
          <w:tcPr>
            <w:tcW w:type="dxa" w:w="3324"/>
          </w:tcPr>
          <w:p>
            <w:r>
              <w:t>物品循环</w:t>
            </w:r>
          </w:p>
        </w:tc>
        <w:tc>
          <w:tcPr>
            <w:tcW w:type="dxa" w:w="3324"/>
          </w:tcPr>
          <w:p>
            <w:r>
              <w:t>可追溯自愿传递是否促进重复利用与校园记忆？</w:t>
            </w:r>
          </w:p>
        </w:tc>
        <w:tc>
          <w:tcPr>
            <w:tcW w:type="dxa" w:w="3324"/>
          </w:tcPr>
          <w:p>
            <w:r>
              <w:t>不绑定身份评分；仅必要流转信息</w:t>
            </w:r>
          </w:p>
        </w:tc>
      </w:tr>
      <w:tr>
        <w:tc>
          <w:tcPr>
            <w:tcW w:type="dxa" w:w="3324"/>
          </w:tcPr>
          <w:p>
            <w:r>
              <w:t>导师与跨文化连接</w:t>
            </w:r>
          </w:p>
        </w:tc>
        <w:tc>
          <w:tcPr>
            <w:tcW w:type="dxa" w:w="3324"/>
          </w:tcPr>
          <w:p>
            <w:r>
              <w:t>自愿匹配是否提升归属与理解？</w:t>
            </w:r>
          </w:p>
        </w:tc>
        <w:tc>
          <w:tcPr>
            <w:tcW w:type="dxa" w:w="3324"/>
          </w:tcPr>
          <w:p>
            <w:r>
              <w:t>不使用强制心理画像；可退出/更换</w:t>
            </w:r>
          </w:p>
        </w:tc>
      </w:tr>
      <w:tr>
        <w:tc>
          <w:tcPr>
            <w:tcW w:type="dxa" w:w="3324"/>
          </w:tcPr>
          <w:p>
            <w:r>
              <w:t>项目凭证</w:t>
            </w:r>
          </w:p>
        </w:tc>
        <w:tc>
          <w:tcPr>
            <w:tcW w:type="dxa" w:w="3324"/>
          </w:tcPr>
          <w:p>
            <w:r>
              <w:t>项目贡献能否形成由学生选择分享的可验证凭证？</w:t>
            </w:r>
          </w:p>
        </w:tc>
        <w:tc>
          <w:tcPr>
            <w:tcW w:type="dxa" w:w="3324"/>
          </w:tcPr>
          <w:p>
            <w:r>
              <w:t>不等于学分/奖学金资格</w:t>
            </w:r>
          </w:p>
        </w:tc>
      </w:tr>
      <w:tr>
        <w:tc>
          <w:tcPr>
            <w:tcW w:type="dxa" w:w="3324"/>
          </w:tcPr>
          <w:p>
            <w:r>
              <w:t>跨校互操作</w:t>
            </w:r>
          </w:p>
        </w:tc>
        <w:tc>
          <w:tcPr>
            <w:tcW w:type="dxa" w:w="3324"/>
          </w:tcPr>
          <w:p>
            <w:r>
              <w:t>学校能否在最小数据原则下互认项目凭证？</w:t>
            </w:r>
          </w:p>
        </w:tc>
        <w:tc>
          <w:tcPr>
            <w:tcW w:type="dxa" w:w="3324"/>
          </w:tcPr>
          <w:p>
            <w:r>
              <w:t>逐校逐法域逐用途；默认不共享原始档案</w:t>
            </w:r>
          </w:p>
        </w:tc>
      </w:tr>
    </w:tbl>
    <w:p>
      <w:pPr>
        <w:pStyle w:val="Heading1"/>
      </w:pPr>
      <w:r>
        <w:t>6. 技术路线的研究化表达</w:t>
      </w:r>
    </w:p>
    <w:p>
      <w:r>
        <w:t>二维码/NFC、可验证凭证、联邦分析等均为候选实现，不预设使用 Singpass、PayNow、LifeSG、政府云、特定区块链或学校生产系统。</w:t>
      </w:r>
    </w:p>
    <w:p>
      <w:pPr>
        <w:pStyle w:val="Heading1"/>
      </w:pPr>
      <w:r>
        <w:t>7. 研究路径</w:t>
      </w:r>
    </w:p>
    <w:p>
      <w:r>
        <w:t>学生与校方共同设计 → 数据保护/伦理评审 → 单校小规模自愿MVP → 独立评估收益与伤害 → 公开失败与纠错 → 再决定是否跨校复制。机构、时间表、人数、API接入、国际标准与全球扩展均为待协商情景。</w:t>
      </w:r>
    </w:p>
    <w:p>
      <w:pPr>
        <w:pStyle w:val="Heading1"/>
      </w:pPr>
      <w:r>
        <w:t>8. 外部证据与引用边界</w:t>
      </w:r>
    </w:p>
    <w:p>
      <w:r>
        <w:t>[1] Singapore PDPC — Data Protection Obligations. https://www.pdpc.gov.sg/-/media/Files/PDPC/PDF-Files/Resource-for-Organisation/Data-Protection-Obligations-under-the-PDPA.ashx?la=en（访问日期：2026-09-03）。支持范围：支持通知、同意与撤回、目的限制、保护、保留限制、跨境转移、访问与更正等数据边界；不支持本项目已获任何机构批准。</w:t>
      </w:r>
    </w:p>
    <w:p>
      <w:r>
        <w:t>[2] Singpass Developer Portal. https://developer.singpass.gov.sg/（访问日期：2026-09-03）。支持范围：支持 Singpass 作为具体数字服务认证能力，以及 Myinfo 经用户同意用于特定数据填充；生产上线还需相应审批，不支持把 Singpass 直接推导为通用贡献评分底座。</w:t>
      </w:r>
    </w:p>
    <w:p>
      <w:r>
        <w:t>[3] OpenCerts Documentation — Getting Started. https://docs.opencerts.io/docs/（访问日期：2026-09-03）。支持范围：支持 OpenCerts v3 / TrustVC 使用 W3C Verifiable Credentials 的技术方向；不支持贡献记录自动成为官方学历、学分、奖学金资格或学校认可。</w:t>
      </w:r>
    </w:p>
    <w:p>
      <w:pPr>
        <w:pStyle w:val="Heading1"/>
      </w:pPr>
      <w:r>
        <w:t>9. 证据分类与版本状态</w:t>
      </w:r>
    </w:p>
    <w:p>
      <w:r>
        <w:t>理论与设计属于作者方研究命题；现实机构事实仅限引用实际支持范围；未来合作、接入、试点与扩展均为非事实、非授权情景。</w:t>
      </w:r>
    </w:p>
    <w:p>
      <w:r/>
      <w:r>
        <w:t>Permanent ID: P06-CITY-005</w:t>
        <w:br/>
        <w:t>Parent: P06-CITY-001</w:t>
        <w:br/>
        <w:t>Status: CURRENT CONTROLLED PUBLIC CAMPUS RESEARCH / V1.1</w:t>
        <w:br/>
        <w:t>Historical direct source SHA-256: 749ea89b552f898cb177e8e2ea39a46ede57f03d0d13a126a8e36d5c32fa8d58</w:t>
        <w:br/>
        <w:t>Parent controlled candidate SHA-256: 8fd92ed4e10ebb68f0e54681cbc070b95caea3788bd958707ef84129fc497f28</w:t>
      </w:r>
    </w:p>
    <w:p>
      <w:r>
        <w:rPr>
          <w:b/>
        </w:rPr>
        <w:t>10. 外发与发布输入纪律</w:t>
      </w:r>
    </w:p>
    <w:p>
      <w:r>
        <w:t>本稿所列政府平台、法律框架和技术标准，仅在引用来源明确支持的范围内作为现实事实；任何未来合作、试点、接入、资源配置或制度采纳仍属于作者方建议或研究情景。</w:t>
      </w:r>
    </w:p>
    <w:p>
      <w:r>
        <w:t>V1.1_SIGNED 是外发终校与本地发布输入基线，不等于已在 civitas.top 公开。网站生成、注册、续读和部署必须经过后续独立本地生成与 Gate。</w:t>
      </w:r>
    </w:p>
    <w:p>
      <w:r>
        <w:t>Public release derivation: C5-POST-R4 release-metadata-only derivative from the frozen V1.1_SIGNED candidate; substantive research content and public boundaries are unchanged.</w:t>
      </w:r>
    </w:p>
    <w:sectPr w:rsidR="00FC693F" w:rsidRPr="0006063C" w:rsidSect="00034616">
      <w:pgSz w:w="12240" w:h="15840"/>
      <w:pgMar w:top="1080" w:right="1152" w:bottom="108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 w:eastAsia="宋体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 w:eastAsia="Microsoft YaHei"/>
      <w:b/>
      <w:bCs/>
      <w:color w:val="365F91" w:themeColor="accent1" w:themeShade="B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 w:eastAsia="Microsoft YaHei"/>
      <w:b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" w:hAnsi="Aptos" w:eastAsia="Microsoft YaHei"/>
      <w:color w:val="17365D" w:themeColor="text2" w:themeShade="BF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