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FF1F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AGI时代文明跃迁国家级综合实验区建议书</w:t>
      </w:r>
    </w:p>
    <w:p w14:paraId="3505C0C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——国家级、城市级、缩域不降维的文明高地实验完整草案</w:t>
      </w:r>
    </w:p>
    <w:p w14:paraId="2C40FA6A">
      <w:pPr>
        <w:rPr>
          <w:rFonts w:hint="eastAsia"/>
          <w:sz w:val="34"/>
          <w:szCs w:val="34"/>
        </w:rPr>
      </w:pPr>
    </w:p>
    <w:p w14:paraId="5A89992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v0.5 修订版</w:t>
      </w:r>
    </w:p>
    <w:p w14:paraId="5466012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作者：子君赋｜出品：文明跃迁研究组｜2026年7月</w:t>
      </w:r>
    </w:p>
    <w:p w14:paraId="4EA1D452">
      <w:pPr>
        <w:rPr>
          <w:rFonts w:hint="eastAsia"/>
          <w:sz w:val="34"/>
          <w:szCs w:val="34"/>
        </w:rPr>
      </w:pPr>
    </w:p>
    <w:p w14:paraId="7A17B05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核心定位：国家授权｜城市级承载｜缩域不降维｜完整系统验证｜文明高地成型</w:t>
      </w:r>
    </w:p>
    <w:p w14:paraId="0DE987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元目标：生存无忧｜生活幸福｜生命更有意义</w:t>
      </w:r>
    </w:p>
    <w:p w14:paraId="471F061E">
      <w:pPr>
        <w:rPr>
          <w:rFonts w:hint="eastAsia"/>
          <w:sz w:val="34"/>
          <w:szCs w:val="34"/>
        </w:rPr>
      </w:pPr>
    </w:p>
    <w:p w14:paraId="07CA79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版本说明</w:t>
      </w:r>
    </w:p>
    <w:p w14:paraId="5D6E3B31">
      <w:pPr>
        <w:rPr>
          <w:rFonts w:hint="eastAsia"/>
          <w:sz w:val="34"/>
          <w:szCs w:val="34"/>
        </w:rPr>
      </w:pPr>
    </w:p>
    <w:p w14:paraId="30BFF6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本稿为“理论进入实践”阶段的完整草案v0.5，定位为国家级综合实验区建议书修订版。</w:t>
      </w:r>
    </w:p>
    <w:p w14:paraId="7F0D613E">
      <w:pPr>
        <w:rPr>
          <w:rFonts w:hint="eastAsia"/>
          <w:sz w:val="34"/>
          <w:szCs w:val="34"/>
        </w:rPr>
      </w:pPr>
    </w:p>
    <w:p w14:paraId="09CCC18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本稿依据文明跃迁五卷书摘要版、体系地图深读版、资源池元规则与三权分离宪制等已有文件的核心判断整理，但不替代任何制度根基文件。</w:t>
      </w:r>
    </w:p>
    <w:p w14:paraId="3FA01D8B">
      <w:pPr>
        <w:rPr>
          <w:rFonts w:hint="eastAsia"/>
          <w:sz w:val="34"/>
          <w:szCs w:val="34"/>
        </w:rPr>
      </w:pPr>
    </w:p>
    <w:p w14:paraId="3B53008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与v0.4的核心区别：本版在保持所有权公有化宪法性原则不变的前提下，吸收了外部评估中可采纳的操作层建议——增补政策衔接章节、加入产权过渡期安排、补强财政可持续框架、优化分阶段技术落地策略、增加人口梯度准入机制、显式化常规与重大事项双轨决策流程。同时，对评估中触及根本原则的建议（双层产权替代所有权公有化、资源池降为市场补充、削弱人心与意义委员会权责）经判断不予采纳，并在相应位置澄清边界。</w:t>
      </w:r>
    </w:p>
    <w:p w14:paraId="5F85CFAE">
      <w:pPr>
        <w:rPr>
          <w:rFonts w:hint="eastAsia"/>
          <w:sz w:val="34"/>
          <w:szCs w:val="34"/>
        </w:rPr>
      </w:pPr>
    </w:p>
    <w:p w14:paraId="256423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目录</w:t>
      </w:r>
    </w:p>
    <w:p w14:paraId="14E6708B">
      <w:pPr>
        <w:rPr>
          <w:rFonts w:hint="eastAsia"/>
          <w:sz w:val="34"/>
          <w:szCs w:val="34"/>
        </w:rPr>
      </w:pPr>
    </w:p>
    <w:p w14:paraId="0549EE4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633C493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2195DD2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74906A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5F3E109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736520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29CE3C3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47EC4B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2AEBDD1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03CE090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11E705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6E7DF12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4372B26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567ED7C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4683EFE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5380C08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6F1EAF4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252F68A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6D47B46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7710290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7AD87C60">
      <w:pPr>
        <w:rPr>
          <w:rFonts w:hint="eastAsia"/>
          <w:sz w:val="34"/>
          <w:szCs w:val="34"/>
        </w:rPr>
      </w:pPr>
    </w:p>
    <w:p w14:paraId="5F53546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3B5CE039">
      <w:pPr>
        <w:rPr>
          <w:rFonts w:hint="eastAsia"/>
          <w:sz w:val="34"/>
          <w:szCs w:val="34"/>
        </w:rPr>
      </w:pPr>
    </w:p>
    <w:p w14:paraId="34EC0C6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提出设立“AGI时代文明跃迁国家级综合实验区”。其根本目的不是建设一个更复杂的城市系统，而是通过系统性的制度与技术设计，验证一个根本命题：在AGI时代，能否让一个城市或地区的居民，生存更加无忧、生活更加幸福、生命更有意义。</w:t>
      </w:r>
    </w:p>
    <w:p w14:paraId="0932D557">
      <w:pPr>
        <w:rPr>
          <w:rFonts w:hint="eastAsia"/>
          <w:sz w:val="34"/>
          <w:szCs w:val="34"/>
        </w:rPr>
      </w:pPr>
    </w:p>
    <w:p w14:paraId="7855A6E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一切资源池、贡献值、三权分离、AGI辅助等设计，都是服务于这三大元目标的工具。任何偏离此目标的系统复杂性，都应被视作需要警惕的熵增。</w:t>
      </w:r>
    </w:p>
    <w:p w14:paraId="1715A836">
      <w:pPr>
        <w:rPr>
          <w:rFonts w:hint="eastAsia"/>
          <w:sz w:val="34"/>
          <w:szCs w:val="34"/>
        </w:rPr>
      </w:pPr>
    </w:p>
    <w:p w14:paraId="306775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本建议书确立一条总原则：文明跃迁实验必须国家授权、城市级承载、完整系统运行、阶段审计纠错、风险外溢可控。它不是降维，而是缩域；不是小试点，而是小文明。</w:t>
      </w:r>
    </w:p>
    <w:p w14:paraId="379536BA">
      <w:pPr>
        <w:rPr>
          <w:rFonts w:hint="eastAsia"/>
          <w:sz w:val="34"/>
          <w:szCs w:val="34"/>
        </w:rPr>
      </w:pPr>
    </w:p>
    <w:p w14:paraId="3910265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本建议书确立以下根本性原则为全文底层宪法：</w:t>
      </w:r>
    </w:p>
    <w:p w14:paraId="44E30D7D">
      <w:pPr>
        <w:rPr>
          <w:rFonts w:hint="eastAsia"/>
          <w:sz w:val="34"/>
          <w:szCs w:val="34"/>
        </w:rPr>
      </w:pPr>
    </w:p>
    <w:p w14:paraId="26F63B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第一，资源池全部资源所有权归实验区全体居民共有。 任何资源，无论进入前归谁所有，一旦进入资源池，其所有权即发生不可逆的公有化。资源池不是闲置资产的收容所，而是实验区全部资源的配置心脏。公共池和私用池的区别，仅在于使用权的配置逻辑不同。从授权到全域公有化之间，设置过渡期安排，在用资源不中断使用，非在用资源优先公有化，给居民和企业预留适应时间。</w:t>
      </w:r>
    </w:p>
    <w:p w14:paraId="2A3FEF4F">
      <w:pPr>
        <w:rPr>
          <w:rFonts w:hint="eastAsia"/>
          <w:sz w:val="34"/>
          <w:szCs w:val="34"/>
        </w:rPr>
      </w:pPr>
    </w:p>
    <w:p w14:paraId="690BE9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第二，贡献不是捐赠。 捐赠是单向给予，捐赠者可指定用途。贡献是客观结果的确认，贡献者不能指定“我的贡献只能被算作什么”。系统记录的是行为的客观流向和最终结果。</w:t>
      </w:r>
    </w:p>
    <w:p w14:paraId="652577AD">
      <w:pPr>
        <w:rPr>
          <w:rFonts w:hint="eastAsia"/>
          <w:sz w:val="34"/>
          <w:szCs w:val="34"/>
        </w:rPr>
      </w:pPr>
    </w:p>
    <w:p w14:paraId="0E0C20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第三，动机无须考虑。 系统只确认行为的客观结果是否对三大元目标产生了净正向贡献。行为者的主观动机——高尚或卑劣、真诚或伪善——一概不予考虑。</w:t>
      </w:r>
    </w:p>
    <w:p w14:paraId="3DA960B6">
      <w:pPr>
        <w:rPr>
          <w:rFonts w:hint="eastAsia"/>
          <w:sz w:val="34"/>
          <w:szCs w:val="34"/>
        </w:rPr>
      </w:pPr>
    </w:p>
    <w:p w14:paraId="5E8A86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第四，对三目标有实质贡献即获贡献值，不分形式与来源。 资产类贡献与行为类贡献平等确认。贡献分大小，不分来源。</w:t>
      </w:r>
    </w:p>
    <w:p w14:paraId="19827DB8">
      <w:pPr>
        <w:rPr>
          <w:rFonts w:hint="eastAsia"/>
          <w:sz w:val="34"/>
          <w:szCs w:val="34"/>
        </w:rPr>
      </w:pPr>
    </w:p>
    <w:p w14:paraId="09C5BAC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第五，贡献值可以继承，决策权不可继承。 贡献值可在贡献者去世后按规定比例转移给法定继承人，按代际衰减。子域决策权和全域文明表决权在任何情况下不可通过血缘传递。</w:t>
      </w:r>
    </w:p>
    <w:p w14:paraId="3BC614AD">
      <w:pPr>
        <w:rPr>
          <w:rFonts w:hint="eastAsia"/>
          <w:sz w:val="34"/>
          <w:szCs w:val="34"/>
        </w:rPr>
      </w:pPr>
    </w:p>
    <w:p w14:paraId="540C03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1DF0CAD5">
      <w:pPr>
        <w:rPr>
          <w:rFonts w:hint="eastAsia"/>
          <w:sz w:val="34"/>
          <w:szCs w:val="34"/>
        </w:rPr>
      </w:pPr>
    </w:p>
    <w:p w14:paraId="4762D09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一、现有主流应对路径的局限：不是做得不够，而是逻辑不通</w:t>
      </w:r>
    </w:p>
    <w:p w14:paraId="677AD825">
      <w:pPr>
        <w:rPr>
          <w:rFonts w:hint="eastAsia"/>
          <w:sz w:val="34"/>
          <w:szCs w:val="34"/>
        </w:rPr>
      </w:pPr>
    </w:p>
    <w:p w14:paraId="0EC9B74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在AGI对社会系统的冲击被逐步认知的过程中，已经出现了几种主流应对思路。它们各自有其价值，但都无法单独或组合回应文明跃迁要解决的根本问题。</w:t>
      </w:r>
    </w:p>
    <w:p w14:paraId="732A0841">
      <w:pPr>
        <w:rPr>
          <w:rFonts w:hint="eastAsia"/>
          <w:sz w:val="34"/>
          <w:szCs w:val="34"/>
        </w:rPr>
      </w:pPr>
    </w:p>
    <w:p w14:paraId="611E1C5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“做大蛋糕”路径的局限。 传统智慧认为增长能解决一切。但AGI时代的增长可能是“无就业增长”与“意义塌缩式增长”。财富的绝对增加无法自动解决“被需要感”丧失的问题，也无法阻止技术红利向少数主体集中后带来的社会结构性撕裂。经济增长是必要条件，但不是充分条件。</w:t>
      </w:r>
    </w:p>
    <w:p w14:paraId="682D933A">
      <w:pPr>
        <w:rPr>
          <w:rFonts w:hint="eastAsia"/>
          <w:sz w:val="34"/>
          <w:szCs w:val="34"/>
        </w:rPr>
      </w:pPr>
    </w:p>
    <w:p w14:paraId="628E33D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“福利国家”路径的局限。 现有福利模式多是被动的再分配，成本高昂且带有不同程度的“羞辱性”。它无法解决“贡献不被看见”的价值危机——一个人可以获得基本收入，却无法获得被社会需要的确认。它也无法有效激活巨量的沉睡资产。</w:t>
      </w:r>
    </w:p>
    <w:p w14:paraId="6B80DE06">
      <w:pPr>
        <w:rPr>
          <w:rFonts w:hint="eastAsia"/>
          <w:sz w:val="34"/>
          <w:szCs w:val="34"/>
        </w:rPr>
      </w:pPr>
    </w:p>
    <w:p w14:paraId="0F11C8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“企业ESG/公益”路径的局限。 这些局部努力缺乏系统性，无法构建新的资源分配与治理权力结构。它们的激励和考核最终仍受制于旧有的财务回报逻辑，可以被用作声誉管理的工具，却无法成为社会运行的新底座。</w:t>
      </w:r>
    </w:p>
    <w:p w14:paraId="45170887">
      <w:pPr>
        <w:rPr>
          <w:rFonts w:hint="eastAsia"/>
          <w:sz w:val="34"/>
          <w:szCs w:val="34"/>
        </w:rPr>
      </w:pPr>
    </w:p>
    <w:p w14:paraId="2014E4F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文明跃迁实验并非在现有选项之外增加一个更好的选项，而是在现有所有工具都指向一个无法解决的“社会价值确认系统崩溃”危机时，唯一一个系统性地构建替代方案的必然尝试。</w:t>
      </w:r>
    </w:p>
    <w:p w14:paraId="6BD26343">
      <w:pPr>
        <w:rPr>
          <w:rFonts w:hint="eastAsia"/>
          <w:sz w:val="34"/>
          <w:szCs w:val="34"/>
        </w:rPr>
      </w:pPr>
    </w:p>
    <w:p w14:paraId="3CA4343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二、AGI改变的不是某个行业，而是文明确认人的方式</w:t>
      </w:r>
    </w:p>
    <w:p w14:paraId="4C4E8663">
      <w:pPr>
        <w:rPr>
          <w:rFonts w:hint="eastAsia"/>
          <w:sz w:val="34"/>
          <w:szCs w:val="34"/>
        </w:rPr>
      </w:pPr>
    </w:p>
    <w:p w14:paraId="35F301F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的出现，并不只是提高生产效率、替代部分工作岗位或改变产业结构。它正在触动一个更深的文明契约：人类长期以来主要通过“有用性”确认自身位置。当AGI能够替代越来越多功能性劳动、认知性劳动与组织性劳动，真正逼近人类的不是单一失业问题，而是“价值确认方式”的失效。文明跃迁要回答的不是“如何让人继续像过去一样被需要”，而是“当功能价值不再足够，人类如何通过存在、关系、贡献、承担、照护、创造意义本身重新确认文明位置”。</w:t>
      </w:r>
    </w:p>
    <w:p w14:paraId="3AF27C18">
      <w:pPr>
        <w:rPr>
          <w:rFonts w:hint="eastAsia"/>
          <w:sz w:val="34"/>
          <w:szCs w:val="34"/>
        </w:rPr>
      </w:pPr>
    </w:p>
    <w:p w14:paraId="187BAA8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三、旧博弈逻辑被AGI放大后会形成系统性风险</w:t>
      </w:r>
    </w:p>
    <w:p w14:paraId="670B8D51">
      <w:pPr>
        <w:rPr>
          <w:rFonts w:hint="eastAsia"/>
          <w:sz w:val="34"/>
          <w:szCs w:val="34"/>
        </w:rPr>
      </w:pPr>
    </w:p>
    <w:p w14:paraId="22B8CB4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传统存量秩序以占有、竞争、垄断、排他、赢家通吃为主要动力。在AGI时代，这套逻辑会被智能系统指数级放大。如果AGI被旧逻辑塑形，它会首先服务于资本增殖、技术封锁、国家对抗、认知操控、资源垄断与军事化部署。其结果不是单点风险，而是多系统互锁。文明跃迁不是道德呼吁，而是AGI时代的结构性生存理性。</w:t>
      </w:r>
    </w:p>
    <w:p w14:paraId="46320229">
      <w:pPr>
        <w:rPr>
          <w:rFonts w:hint="eastAsia"/>
          <w:sz w:val="34"/>
          <w:szCs w:val="34"/>
        </w:rPr>
      </w:pPr>
    </w:p>
    <w:p w14:paraId="61E9BE7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四、为什么不能只做社区、企业或公益试点</w:t>
      </w:r>
    </w:p>
    <w:p w14:paraId="3F6187DE">
      <w:pPr>
        <w:rPr>
          <w:rFonts w:hint="eastAsia"/>
          <w:sz w:val="34"/>
          <w:szCs w:val="34"/>
        </w:rPr>
      </w:pPr>
    </w:p>
    <w:p w14:paraId="364E943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区互助可以证明善意存在，企业内部积分可以证明激励机制可用，公益项目可以证明局部资源调度有效。但这些都不能证明文明跃迁理论本身。文明跃迁要验证的是一个完整社会系统能否运行：基础生存保障、资源池、贡献值、三权分离、AGI辅助治理、审计纠错、公众表决、意义涌现，必须在同一地区内同时运转。只有城市级或地区级完整社会运行体系，才有可能验证资源、权力、技术、人心与意义之间的真实耦合。</w:t>
      </w:r>
    </w:p>
    <w:p w14:paraId="61F366B7">
      <w:pPr>
        <w:rPr>
          <w:rFonts w:hint="eastAsia"/>
          <w:sz w:val="34"/>
          <w:szCs w:val="34"/>
        </w:rPr>
      </w:pPr>
    </w:p>
    <w:p w14:paraId="4D5A4FC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五、与现行国家政策主线的关系</w:t>
      </w:r>
    </w:p>
    <w:p w14:paraId="524A66F4">
      <w:pPr>
        <w:rPr>
          <w:rFonts w:hint="eastAsia"/>
          <w:sz w:val="34"/>
          <w:szCs w:val="34"/>
        </w:rPr>
      </w:pPr>
    </w:p>
    <w:p w14:paraId="37E494B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本实验区方案不是脱离现有改革主线的另起炉灶，而是以下国家战略在AGI时代的融合升级与综合验证：</w:t>
      </w:r>
    </w:p>
    <w:p w14:paraId="0E575E9A">
      <w:pPr>
        <w:rPr>
          <w:rFonts w:hint="eastAsia"/>
          <w:sz w:val="34"/>
          <w:szCs w:val="34"/>
        </w:rPr>
      </w:pPr>
    </w:p>
    <w:p w14:paraId="0180AC5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共同富裕：贡献值系统为“第三次分配”提供制度性激励，让先富群体的资源释放获得系统性确认与回馈；</w:t>
      </w:r>
    </w:p>
    <w:p w14:paraId="2284F6E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数字政府与智慧城市：AGI辅助治理是现有数字政府建设的纵深延伸，从“数据跑腿”升级为“智能辅助决策”；</w:t>
      </w:r>
    </w:p>
    <w:p w14:paraId="75B1D7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普惠人工智能：基础AGI使用能力纳入生存保障包，是对AI普惠理念的制度化落地；</w:t>
      </w:r>
    </w:p>
    <w:p w14:paraId="21D9DB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要素市场化配置：资源池是要素市场化改革的深化——让使用权作为独立要素从所有权中分离并高效流转；</w:t>
      </w:r>
    </w:p>
    <w:p w14:paraId="035A741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国家级新区/自贸区制度创新：实验区沿袭“先行先试”传统，在授权沙盒内进行制度实验，成熟后推广。</w:t>
      </w:r>
    </w:p>
    <w:p w14:paraId="3BE1BEFF">
      <w:pPr>
        <w:rPr>
          <w:rFonts w:hint="eastAsia"/>
          <w:sz w:val="34"/>
          <w:szCs w:val="34"/>
        </w:rPr>
      </w:pPr>
    </w:p>
    <w:p w14:paraId="564F91B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实验区不是对现行政策的替代，而是对它们的继承、深化与系统化整合。</w:t>
      </w:r>
    </w:p>
    <w:p w14:paraId="5BAF221A">
      <w:pPr>
        <w:rPr>
          <w:rFonts w:hint="eastAsia"/>
          <w:sz w:val="34"/>
          <w:szCs w:val="34"/>
        </w:rPr>
      </w:pPr>
    </w:p>
    <w:p w14:paraId="0C84BE7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4C7E164C">
      <w:pPr>
        <w:rPr>
          <w:rFonts w:hint="eastAsia"/>
          <w:sz w:val="34"/>
          <w:szCs w:val="34"/>
        </w:rPr>
      </w:pPr>
    </w:p>
    <w:p w14:paraId="48838D6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一、实验性质</w:t>
      </w:r>
    </w:p>
    <w:p w14:paraId="68407D3E">
      <w:pPr>
        <w:rPr>
          <w:rFonts w:hint="eastAsia"/>
          <w:sz w:val="34"/>
          <w:szCs w:val="34"/>
        </w:rPr>
      </w:pPr>
    </w:p>
    <w:p w14:paraId="139148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本实验区建议定位为“AGI时代文明跃迁国家级综合实验区”。它不是传统意义上的产业园、示范区、数字政府试点或社会治理创新项目，而是面向AGI时代新文明操作系统的缩域完整验证。</w:t>
      </w:r>
    </w:p>
    <w:p w14:paraId="643207BD">
      <w:pPr>
        <w:rPr>
          <w:rFonts w:hint="eastAsia"/>
          <w:sz w:val="34"/>
          <w:szCs w:val="34"/>
        </w:rPr>
      </w:pPr>
    </w:p>
    <w:p w14:paraId="7E5B83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所谓“缩域完整验证”，是指在地理范围、人口规模、资源边界和风险外溢上进行控制，但不降低理论维度，不拆散系统结构，不把文明跃迁降成单项机制。</w:t>
      </w:r>
    </w:p>
    <w:p w14:paraId="22E35E15">
      <w:pPr>
        <w:rPr>
          <w:rFonts w:hint="eastAsia"/>
          <w:sz w:val="34"/>
          <w:szCs w:val="34"/>
        </w:rPr>
      </w:pPr>
    </w:p>
    <w:p w14:paraId="7F9C20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二、总原则</w:t>
      </w:r>
    </w:p>
    <w:p w14:paraId="1266232E">
      <w:pPr>
        <w:rPr>
          <w:rFonts w:hint="eastAsia"/>
          <w:sz w:val="34"/>
          <w:szCs w:val="34"/>
        </w:rPr>
      </w:pPr>
    </w:p>
    <w:p w14:paraId="0504A0A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国家授权。 实验区必须在国家级或高级别地方授权下运行，明确法律边界、政策空间、资源所有权公有化的授权范围与过渡期安排、数据权限和审计责任。</w:t>
      </w:r>
    </w:p>
    <w:p w14:paraId="053E4E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城市级承载。 实验区必须拥有相对完整的社会运行体系。</w:t>
      </w:r>
    </w:p>
    <w:p w14:paraId="7B64830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缩域不降维。 实验可先在一个城市、新区、特殊功能区或完整城区展开，但必须保留六大系统的整体性。</w:t>
      </w:r>
    </w:p>
    <w:p w14:paraId="3ADAAEC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完整运行。 资源池、贡献值、三权分离、AGI辅助治理、基础生存保障、意义涌现指标必须同时进入设计与验证。</w:t>
      </w:r>
    </w:p>
    <w:p w14:paraId="18B86E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目标对齐。 一切制度设计、技术部署和过程指标，必须以“生存无忧、生活幸福、生命更有意义”为最终检验标准。任何不能清晰指向这三大目标的复杂设计，都应被识别为系统熵增，予以剔除或简化。</w:t>
      </w:r>
    </w:p>
    <w:p w14:paraId="1A71FEC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可审计、可纠错、可暂停、可退出。 任何实验机制都不得成为不可逆的权力结构。</w:t>
      </w:r>
    </w:p>
    <w:p w14:paraId="21503DAE">
      <w:pPr>
        <w:rPr>
          <w:rFonts w:hint="eastAsia"/>
          <w:sz w:val="34"/>
          <w:szCs w:val="34"/>
        </w:rPr>
      </w:pPr>
    </w:p>
    <w:p w14:paraId="1747956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三、文明高地的定义</w:t>
      </w:r>
    </w:p>
    <w:p w14:paraId="6420B392">
      <w:pPr>
        <w:rPr>
          <w:rFonts w:hint="eastAsia"/>
          <w:sz w:val="34"/>
          <w:szCs w:val="34"/>
        </w:rPr>
      </w:pPr>
    </w:p>
    <w:p w14:paraId="21D441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高地不是GDP高地、楼宇高地、技术炫耀高地。文明高地必须真实地让人感到：生存更安全，生活更稳定，贡献更可见，资源不再沉睡，强者不再被旧博弈长期困住，普通人不再被系统判为多余，AGI不再被迫成为恐惧、控制与战争的工具。</w:t>
      </w:r>
    </w:p>
    <w:p w14:paraId="1D35BD2F">
      <w:pPr>
        <w:rPr>
          <w:rFonts w:hint="eastAsia"/>
          <w:sz w:val="34"/>
          <w:szCs w:val="34"/>
        </w:rPr>
      </w:pPr>
    </w:p>
    <w:p w14:paraId="466CE22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3DEE2486">
      <w:pPr>
        <w:rPr>
          <w:rFonts w:hint="eastAsia"/>
          <w:sz w:val="34"/>
          <w:szCs w:val="34"/>
        </w:rPr>
      </w:pPr>
    </w:p>
    <w:p w14:paraId="74464EB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文明跃迁不是为了让系统变得更复杂，而是为了让人活得更好。实验区的一切设计，必须以三大元目标为终极检验标准。</w:t>
      </w:r>
    </w:p>
    <w:p w14:paraId="7BE1667D">
      <w:pPr>
        <w:rPr>
          <w:rFonts w:hint="eastAsia"/>
          <w:sz w:val="34"/>
          <w:szCs w:val="34"/>
        </w:rPr>
      </w:pPr>
    </w:p>
    <w:p w14:paraId="1FDE3E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三大目标不是并列选项，而是层层递进、缺一不可的文明承诺：生存无忧是底线，没有它，一切无从谈起；生活幸福是展开，让生存不只是“活着”，而是值得度过；生命更有意义是归宿，让人不只是安度一生，而是确认自己的存在有价值、被需要、被记住。</w:t>
      </w:r>
    </w:p>
    <w:p w14:paraId="03995314">
      <w:pPr>
        <w:rPr>
          <w:rFonts w:hint="eastAsia"/>
          <w:sz w:val="34"/>
          <w:szCs w:val="34"/>
        </w:rPr>
      </w:pPr>
    </w:p>
    <w:p w14:paraId="527034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所有设计都应强制通过“目标对齐检验”：这一制度、这一系统、这一指标，最终指向哪个元目标？如果三个都指不上，它就不该进入实验区。如果它表面上指向一个目标、却损害另一个目标，它就需要被重新设计或予以放弃。</w:t>
      </w:r>
    </w:p>
    <w:p w14:paraId="2152A385">
      <w:pPr>
        <w:rPr>
          <w:rFonts w:hint="eastAsia"/>
          <w:sz w:val="34"/>
          <w:szCs w:val="34"/>
        </w:rPr>
      </w:pPr>
    </w:p>
    <w:p w14:paraId="6B374B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一、总目标</w:t>
      </w:r>
    </w:p>
    <w:p w14:paraId="2147FEA6">
      <w:pPr>
        <w:rPr>
          <w:rFonts w:hint="eastAsia"/>
          <w:sz w:val="34"/>
          <w:szCs w:val="34"/>
        </w:rPr>
      </w:pPr>
    </w:p>
    <w:p w14:paraId="2E288B4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建立一个国家级、城市级、完整运行的文明跃迁实验区，验证AGI时代社会运行系统能否从“资本—权力—竞争”主轴，转向以“生存无忧、生活幸福、生命更有意义”为元目标的新主轴。</w:t>
      </w:r>
    </w:p>
    <w:p w14:paraId="29E9D261">
      <w:pPr>
        <w:rPr>
          <w:rFonts w:hint="eastAsia"/>
          <w:sz w:val="34"/>
          <w:szCs w:val="34"/>
        </w:rPr>
      </w:pPr>
    </w:p>
    <w:p w14:paraId="5724804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二、三大元目标的递进关系</w:t>
      </w:r>
    </w:p>
    <w:p w14:paraId="2666ADAE">
      <w:pPr>
        <w:rPr>
          <w:rFonts w:hint="eastAsia"/>
          <w:sz w:val="34"/>
          <w:szCs w:val="34"/>
        </w:rPr>
      </w:pPr>
    </w:p>
    <w:p w14:paraId="2A855E7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生存无忧。 基础生存所需边际成本持续下降，不以羞辱、筛选、排斥为代价。食物、居住、医疗、教育、能源、交通、信息、AGI基本使用能力，不再是压在个体身上的终身重负，而是文明红利的底线分配。</w:t>
      </w:r>
    </w:p>
    <w:p w14:paraId="5739C194">
      <w:pPr>
        <w:rPr>
          <w:rFonts w:hint="eastAsia"/>
          <w:sz w:val="34"/>
          <w:szCs w:val="34"/>
        </w:rPr>
      </w:pPr>
    </w:p>
    <w:p w14:paraId="73C272C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生活幸福。 在生存无忧的基础上，公共服务稳定高效，社区关系增厚，自由时间增加，上升通道清晰，公平感增强，家庭压力下降。人不仅“活着”，而且活得有尊严、有温度、有稳定预期。</w:t>
      </w:r>
    </w:p>
    <w:p w14:paraId="3552EDE9">
      <w:pPr>
        <w:rPr>
          <w:rFonts w:hint="eastAsia"/>
          <w:sz w:val="34"/>
          <w:szCs w:val="34"/>
        </w:rPr>
      </w:pPr>
    </w:p>
    <w:p w14:paraId="38025E6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生命更有意义。 在生存无忧和生活幸福的基础上，人的贡献被看见、被尊重、被记住；照护、陪伴、创造、守护、知识传递和善意行动不再被系统遗忘；人被AGI放大而不是替代；个人能确认“我是被需要的”；贡献者知道，自己一生的贡献不会随死亡而消散，而是会继续庇护自己所爱的人。</w:t>
      </w:r>
    </w:p>
    <w:p w14:paraId="024C732B">
      <w:pPr>
        <w:rPr>
          <w:rFonts w:hint="eastAsia"/>
          <w:sz w:val="34"/>
          <w:szCs w:val="34"/>
        </w:rPr>
      </w:pPr>
    </w:p>
    <w:p w14:paraId="5115229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三、核心验证问题</w:t>
      </w:r>
    </w:p>
    <w:p w14:paraId="6E3F07E8">
      <w:pPr>
        <w:rPr>
          <w:rFonts w:hint="eastAsia"/>
          <w:sz w:val="34"/>
          <w:szCs w:val="34"/>
        </w:rPr>
      </w:pPr>
    </w:p>
    <w:p w14:paraId="7D8BC9D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指向“生存无忧”的验证问题</w:t>
      </w:r>
    </w:p>
    <w:p w14:paraId="4061831A">
      <w:pPr>
        <w:rPr>
          <w:rFonts w:hint="eastAsia"/>
          <w:sz w:val="34"/>
          <w:szCs w:val="34"/>
        </w:rPr>
      </w:pPr>
    </w:p>
    <w:p w14:paraId="787AB2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基础生存保障能否不依赖羞辱性救助，而成为文明红利的结构性分配？</w:t>
      </w:r>
    </w:p>
    <w:p w14:paraId="30DEA00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资源池能否通过提升资源使用效率，显著降低居民基础生存的边际成本？</w:t>
      </w:r>
    </w:p>
    <w:p w14:paraId="5085CF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生存安全网的建立，能否减少而非增加社会对立与身份焦虑？</w:t>
      </w:r>
    </w:p>
    <w:p w14:paraId="4F782AB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生存保障的制度设计，是否具有可持续性，而非依赖不断追加的财政投入？</w:t>
      </w:r>
    </w:p>
    <w:p w14:paraId="716A05A3">
      <w:pPr>
        <w:rPr>
          <w:rFonts w:hint="eastAsia"/>
          <w:sz w:val="34"/>
          <w:szCs w:val="34"/>
        </w:rPr>
      </w:pPr>
    </w:p>
    <w:p w14:paraId="5DB032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指向“生活幸福”的验证问题</w:t>
      </w:r>
    </w:p>
    <w:p w14:paraId="72F1BC70">
      <w:pPr>
        <w:rPr>
          <w:rFonts w:hint="eastAsia"/>
          <w:sz w:val="34"/>
          <w:szCs w:val="34"/>
        </w:rPr>
      </w:pPr>
    </w:p>
    <w:p w14:paraId="732FBC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更高效的资源匹配，能否为居民带来更多可支配的自由时间？</w:t>
      </w:r>
    </w:p>
    <w:p w14:paraId="3446B85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稳定的公共服务与更少焦虑的生存保障，能否增厚家庭与社区关系？</w:t>
      </w:r>
    </w:p>
    <w:p w14:paraId="700EF2C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贡献值系统能否让人们在付出时感受到公平和认可，从而提升社会信任？</w:t>
      </w:r>
    </w:p>
    <w:p w14:paraId="7BD29FE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8. 居民能否感受到自己的生活是被尊重、被看见的，而不是被系统管理的“对象”？</w:t>
      </w:r>
    </w:p>
    <w:p w14:paraId="54506E3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9. 社会流动通道是否因贡献值而更加清晰、公平、可及？</w:t>
      </w:r>
    </w:p>
    <w:p w14:paraId="2531E1CA">
      <w:pPr>
        <w:rPr>
          <w:rFonts w:hint="eastAsia"/>
          <w:sz w:val="34"/>
          <w:szCs w:val="34"/>
        </w:rPr>
      </w:pPr>
    </w:p>
    <w:p w14:paraId="32D08CE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指向“生命更有意义”的验证问题</w:t>
      </w:r>
    </w:p>
    <w:p w14:paraId="7E4C12AF">
      <w:pPr>
        <w:rPr>
          <w:rFonts w:hint="eastAsia"/>
          <w:sz w:val="34"/>
          <w:szCs w:val="34"/>
        </w:rPr>
      </w:pPr>
    </w:p>
    <w:p w14:paraId="2DAD74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10. 贡献值能否让那些无法被市场定价的照护、维护、陪伴与善意，真正被看见、被尊重、被记住？</w:t>
      </w:r>
    </w:p>
    <w:p w14:paraId="25EA693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11. 普通人能否通过贡献系统，找到自己被需要的价值感和位置感？</w:t>
      </w:r>
    </w:p>
    <w:p w14:paraId="4EB291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12. AGI作为“放大器”，是让人的善意和能力延伸到更多地方，还是让人变得更孤立、更无能？</w:t>
      </w:r>
    </w:p>
    <w:p w14:paraId="7B41A2D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13. 整个实验区，是否让居民更少感到孤独、更多体验到生命的意义和连接？</w:t>
      </w:r>
    </w:p>
    <w:p w14:paraId="1B0D6A3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14. 贡献值继承机制，是否让贡献者感受到“我的贡献可以庇护我所爱的人”？</w:t>
      </w:r>
    </w:p>
    <w:p w14:paraId="135B9B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15. 在AGI高度发达的环境中，人是否仍然有理由相信自己“无可替代”？</w:t>
      </w:r>
    </w:p>
    <w:p w14:paraId="7238653E">
      <w:pPr>
        <w:rPr>
          <w:rFonts w:hint="eastAsia"/>
          <w:sz w:val="34"/>
          <w:szCs w:val="34"/>
        </w:rPr>
      </w:pPr>
    </w:p>
    <w:p w14:paraId="7F7BA75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4F69980A">
      <w:pPr>
        <w:rPr>
          <w:rFonts w:hint="eastAsia"/>
          <w:sz w:val="34"/>
          <w:szCs w:val="34"/>
        </w:rPr>
      </w:pPr>
    </w:p>
    <w:p w14:paraId="4CEA009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一、最低承载条件</w:t>
      </w:r>
    </w:p>
    <w:p w14:paraId="43B4D81C">
      <w:pPr>
        <w:rPr>
          <w:rFonts w:hint="eastAsia"/>
          <w:sz w:val="34"/>
          <w:szCs w:val="34"/>
        </w:rPr>
      </w:pPr>
    </w:p>
    <w:p w14:paraId="11851A6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独立完整的社会运行闭环。</w:t>
      </w:r>
    </w:p>
    <w:p w14:paraId="41BB88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足够的国家或地方授权空间。 能够开展资源所有权公有化（含过渡期安排）、资源使用权、数据治理、公共服务供给方式、贡献值记录与继承、AGI辅助治理和公众表决机制的制度实验。</w:t>
      </w:r>
    </w:p>
    <w:p w14:paraId="78DA3E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全域全量资源。 实验区内全部公有和私有资源，不论在用还是闲置，均纳入资源池登记。闲置资源撑不起新制度，全域全量资源才能撑起文明跃迁的完整验证。所有权公有化设置过渡期，在用资源不中断使用，非在用资源优先公有化。</w:t>
      </w:r>
    </w:p>
    <w:p w14:paraId="6E72BF5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完整的数据基础。</w:t>
      </w:r>
    </w:p>
    <w:p w14:paraId="29EB636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AGI应用基础。</w:t>
      </w:r>
    </w:p>
    <w:p w14:paraId="3F5AF9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审计与纠错能力。</w:t>
      </w:r>
    </w:p>
    <w:p w14:paraId="17C4521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风险外溢可控。</w:t>
      </w:r>
    </w:p>
    <w:p w14:paraId="1798278B">
      <w:pPr>
        <w:rPr>
          <w:rFonts w:hint="eastAsia"/>
          <w:sz w:val="34"/>
          <w:szCs w:val="34"/>
        </w:rPr>
      </w:pPr>
    </w:p>
    <w:p w14:paraId="0C36F87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二、优先承载类型</w:t>
      </w:r>
    </w:p>
    <w:p w14:paraId="45AF964B">
      <w:pPr>
        <w:rPr>
          <w:rFonts w:hint="eastAsia"/>
          <w:sz w:val="34"/>
          <w:szCs w:val="34"/>
        </w:rPr>
      </w:pPr>
    </w:p>
    <w:p w14:paraId="304A9BB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国家级新区；2. 自贸区或特别开放区；3. 数字治理先进城市；4. 科创城、大学城、未来城；5. 资源型转型城市。</w:t>
      </w:r>
    </w:p>
    <w:p w14:paraId="0370C066">
      <w:pPr>
        <w:rPr>
          <w:rFonts w:hint="eastAsia"/>
          <w:sz w:val="34"/>
          <w:szCs w:val="34"/>
        </w:rPr>
      </w:pPr>
    </w:p>
    <w:p w14:paraId="778748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三、选址评估维度</w:t>
      </w:r>
    </w:p>
    <w:p w14:paraId="19C41D2A">
      <w:pPr>
        <w:rPr>
          <w:rFonts w:hint="eastAsia"/>
          <w:sz w:val="34"/>
          <w:szCs w:val="34"/>
        </w:rPr>
      </w:pPr>
    </w:p>
    <w:p w14:paraId="4A4232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候选地区应按照国家授权可能性、社会系统完整度、资源池潜力、数据基础、AGI应用基础、公共服务能力、产业多样性、公众接受度、风险可控性九项综合评估。选址不是寻找“最先进城市”，而是寻找最可能形成完整文明实验闭环的地区。</w:t>
      </w:r>
    </w:p>
    <w:p w14:paraId="2F58E7F6">
      <w:pPr>
        <w:rPr>
          <w:rFonts w:hint="eastAsia"/>
          <w:sz w:val="34"/>
          <w:szCs w:val="34"/>
        </w:rPr>
      </w:pPr>
    </w:p>
    <w:p w14:paraId="1A42C1D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四、人口流动与梯度准入机制</w:t>
      </w:r>
    </w:p>
    <w:p w14:paraId="63C6955B">
      <w:pPr>
        <w:rPr>
          <w:rFonts w:hint="eastAsia"/>
          <w:sz w:val="34"/>
          <w:szCs w:val="34"/>
        </w:rPr>
      </w:pPr>
    </w:p>
    <w:p w14:paraId="5446D1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实验区基础生存保障的完善可能吸引外部人口涌入，需建立梯度准入机制：</w:t>
      </w:r>
    </w:p>
    <w:p w14:paraId="083DDB23">
      <w:pPr>
        <w:rPr>
          <w:rFonts w:hint="eastAsia"/>
          <w:sz w:val="34"/>
          <w:szCs w:val="34"/>
        </w:rPr>
      </w:pPr>
    </w:p>
    <w:p w14:paraId="546D8D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原生居民：实验区原住居民自动享有完整基础生存保障和一人一票文明表决权。</w:t>
      </w:r>
    </w:p>
    <w:p w14:paraId="4B5B627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新进居民：通过就职、技能、家庭团聚等通道进入，基础生存保障分阶段解锁——首年享有基础医疗和基础教育，逐年扩展至完整保障包。</w:t>
      </w:r>
    </w:p>
    <w:p w14:paraId="1686DB2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短期流动人口：在实验区工作但未落户者，享有基础公共服务，但不参与文明表决。</w:t>
      </w:r>
    </w:p>
    <w:p w14:paraId="3E844C2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承载力预警：建立资源承载力动态监测模型。当人口逼近预设阈值时，启动限流预警和外部资源导入预案，确保基础保障不因人口过载而稀释。</w:t>
      </w:r>
    </w:p>
    <w:p w14:paraId="449709B1">
      <w:pPr>
        <w:rPr>
          <w:rFonts w:hint="eastAsia"/>
          <w:sz w:val="34"/>
          <w:szCs w:val="34"/>
        </w:rPr>
      </w:pPr>
    </w:p>
    <w:p w14:paraId="793823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7147427F">
      <w:pPr>
        <w:rPr>
          <w:rFonts w:hint="eastAsia"/>
          <w:sz w:val="34"/>
          <w:szCs w:val="34"/>
        </w:rPr>
      </w:pPr>
    </w:p>
    <w:p w14:paraId="121228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实验区总体架构由六大系统组成。每个系统都必须回答：它在哪个环节、以什么方式，为“生存无忧、生活幸福、生命更有意义”做出贡献？</w:t>
      </w:r>
    </w:p>
    <w:p w14:paraId="2C631F65">
      <w:pPr>
        <w:rPr>
          <w:rFonts w:hint="eastAsia"/>
          <w:sz w:val="34"/>
          <w:szCs w:val="34"/>
        </w:rPr>
      </w:pPr>
    </w:p>
    <w:p w14:paraId="09573F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一、基础生存保障系统</w:t>
      </w:r>
    </w:p>
    <w:p w14:paraId="1DCB8BD4">
      <w:pPr>
        <w:rPr>
          <w:rFonts w:hint="eastAsia"/>
          <w:sz w:val="34"/>
          <w:szCs w:val="34"/>
        </w:rPr>
      </w:pPr>
    </w:p>
    <w:p w14:paraId="26BF15D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目标指向：主要贡献于生存无忧，为生活幸福提供稳定底座，为生命更有意义解除后顾之忧。</w:t>
      </w:r>
    </w:p>
    <w:p w14:paraId="4D409A68">
      <w:pPr>
        <w:rPr>
          <w:rFonts w:hint="eastAsia"/>
          <w:sz w:val="34"/>
          <w:szCs w:val="34"/>
        </w:rPr>
      </w:pPr>
    </w:p>
    <w:p w14:paraId="76B59D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是验证“生存资源去竞争化”。基础服务包包括基础食物安全、基础居住安全、基础医疗、基础教育、基础能源、基础交通、基础信息获取、基础AGI使用能力。该系统不等于传统福利扩张，它要验证的是：在AGI、资源池与公共服务重构共同作用下，居民基础生存边际成本能否持续下降，且不以羞辱、筛选、排斥为代价。</w:t>
      </w:r>
    </w:p>
    <w:p w14:paraId="3C7F5EE2">
      <w:pPr>
        <w:rPr>
          <w:rFonts w:hint="eastAsia"/>
          <w:sz w:val="34"/>
          <w:szCs w:val="34"/>
        </w:rPr>
      </w:pPr>
    </w:p>
    <w:p w14:paraId="5CAED76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财政可持续框架：基础生存保障的资金来源由三层构成——</w:t>
      </w:r>
    </w:p>
    <w:p w14:paraId="24F03E1C">
      <w:pPr>
        <w:rPr>
          <w:rFonts w:hint="eastAsia"/>
          <w:sz w:val="34"/>
          <w:szCs w:val="34"/>
        </w:rPr>
      </w:pPr>
    </w:p>
    <w:p w14:paraId="494A75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基础层：现有财政公共服务预算平移，不新增大额刚性支出；</w:t>
      </w:r>
    </w:p>
    <w:p w14:paraId="51893ED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补充层：公共池资产运营收益、私用池资源使用贡献值兑换对价、企业参与资源池专项合作经费；</w:t>
      </w:r>
    </w:p>
    <w:p w14:paraId="3608EF2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缓冲层：国家级改革专项试点资金，应对人口涌入、资产低效运营等波动。初期需要财政投入和外部资源注入，成熟期资源池运营收益逐步覆盖基础保障支出，形成自平衡闭环。</w:t>
      </w:r>
    </w:p>
    <w:p w14:paraId="09CF4A59">
      <w:pPr>
        <w:rPr>
          <w:rFonts w:hint="eastAsia"/>
          <w:sz w:val="34"/>
          <w:szCs w:val="34"/>
        </w:rPr>
      </w:pPr>
    </w:p>
    <w:p w14:paraId="69F1753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二、城市资源池系统</w:t>
      </w:r>
    </w:p>
    <w:p w14:paraId="089C5682">
      <w:pPr>
        <w:rPr>
          <w:rFonts w:hint="eastAsia"/>
          <w:sz w:val="34"/>
          <w:szCs w:val="34"/>
        </w:rPr>
      </w:pPr>
    </w:p>
    <w:p w14:paraId="7E6D35F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目标指向：通过提升效率直接贡献于生存无忧，通过减少浪费和增加可用性贡献于生活幸福，通过让资源流向创造社会价值的领域贡献于生命更有意义。</w:t>
      </w:r>
    </w:p>
    <w:p w14:paraId="2DC0BE00">
      <w:pPr>
        <w:rPr>
          <w:rFonts w:hint="eastAsia"/>
          <w:sz w:val="34"/>
          <w:szCs w:val="34"/>
        </w:rPr>
      </w:pPr>
    </w:p>
    <w:p w14:paraId="2D3DDD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宪法性原则：资源池全部资源，所有权归实验区全体居民共有。 任何资源，无论进入前归谁所有，一旦进入资源池，其所有权即发生不可逆的公有化。公共池和私用池的区别，仅在于使用权的配置逻辑不同。</w:t>
      </w:r>
    </w:p>
    <w:p w14:paraId="574FC083">
      <w:pPr>
        <w:rPr>
          <w:rFonts w:hint="eastAsia"/>
          <w:sz w:val="34"/>
          <w:szCs w:val="34"/>
        </w:rPr>
      </w:pPr>
    </w:p>
    <w:p w14:paraId="00C894D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有权公有化的过渡期安排：从实验区授权到全域资源所有权公有化，设置过渡期。过渡期内，在用资源维持当前使用状态不中断，仅登记备案；非在用闲置资源优先进入公有化流程。过渡期满后，全部资源所有权公有化一步到位。过渡期具体时长由实验区授权框架规定，建议为3至5年。过渡期安排的目的，是给居民和企业预留适应与调整时间，降低制度切换的冲击，而非改变所有权公有化的最终方向。设立独立的“实验区公共资源资产管理法人”，统一承接已公有化资产的所有权，作为法律意义上的受托管理主体。该法人与全体居民的关系是信托性质的——法人是受托管理方，最终受益权和最终所有权仍属全体居民。这一安排解决了“全体居民共有”在当前法律体系中缺乏对应法人主体的空白。</w:t>
      </w:r>
    </w:p>
    <w:p w14:paraId="3F46A914">
      <w:pPr>
        <w:rPr>
          <w:rFonts w:hint="eastAsia"/>
          <w:sz w:val="34"/>
          <w:szCs w:val="34"/>
        </w:rPr>
      </w:pPr>
    </w:p>
    <w:p w14:paraId="609EE3B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资源池覆盖实验区全部资源，不限于闲置资源。 实验区内公、私全部资源，在用与闲置全部资源，以及实验区外可接入的资源，全部纳入资源池登记。</w:t>
      </w:r>
    </w:p>
    <w:p w14:paraId="6E073D81">
      <w:pPr>
        <w:rPr>
          <w:rFonts w:hint="eastAsia"/>
          <w:sz w:val="34"/>
          <w:szCs w:val="34"/>
        </w:rPr>
      </w:pPr>
    </w:p>
    <w:p w14:paraId="70D5D53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分为公共池与私用池。公共池服务于公域需求，分配以需求匹配为优先；私用池服务于私域发展，分配以贡献值分级为主要依据。池的归属不由资产来源决定，私有资产可以进入公共池，公有资产也可以进入私用池。</w:t>
      </w:r>
    </w:p>
    <w:p w14:paraId="62E9FB20">
      <w:pPr>
        <w:rPr>
          <w:rFonts w:hint="eastAsia"/>
          <w:sz w:val="34"/>
          <w:szCs w:val="34"/>
        </w:rPr>
      </w:pPr>
    </w:p>
    <w:p w14:paraId="25743F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者将资源投入资源池后，不能凭借“这是我投入的”而主张对该资源的任何优先使用权、排他权或指定用途权，不能在任何时候以“这是我的”为由撤回资源的所有权。资源原拥有者的合理使用需求，在资源池中获得制度性保障。</w:t>
      </w:r>
    </w:p>
    <w:p w14:paraId="769A2467">
      <w:pPr>
        <w:rPr>
          <w:rFonts w:hint="eastAsia"/>
          <w:sz w:val="34"/>
          <w:szCs w:val="34"/>
        </w:rPr>
      </w:pPr>
    </w:p>
    <w:p w14:paraId="2E1962B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三、贡献值与治理信用系统</w:t>
      </w:r>
    </w:p>
    <w:p w14:paraId="5AF65C89">
      <w:pPr>
        <w:rPr>
          <w:rFonts w:hint="eastAsia"/>
          <w:sz w:val="34"/>
          <w:szCs w:val="34"/>
        </w:rPr>
      </w:pPr>
    </w:p>
    <w:p w14:paraId="2B94EE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连接三大目标的核心纽带。通过识别和确认贡献，为生命更有意义提供制度性反馈；通过将贡献转化为资源使用信用，为生活幸福创造公平的上升通道；通过巩固社会信任，为生存无忧构建更强的公共支持网络。</w:t>
      </w:r>
    </w:p>
    <w:p w14:paraId="5A7C613B">
      <w:pPr>
        <w:rPr>
          <w:rFonts w:hint="eastAsia"/>
          <w:sz w:val="34"/>
          <w:szCs w:val="34"/>
        </w:rPr>
      </w:pPr>
    </w:p>
    <w:p w14:paraId="578F7D8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记录的是行为对公共价值产生的净正向增益，不评价人的生命价值，也不决定人的存在资格。贡献来源分为资产类与行为类两大类，平等确认，不分高下。贡献必须事实锚定：贡献者申报、受益方确认、客观数据记录、第三方审计、AGI异常识别共同构成核验链。主观动机不作为主要判断对象。</w:t>
      </w:r>
    </w:p>
    <w:p w14:paraId="63B873CD">
      <w:pPr>
        <w:rPr>
          <w:rFonts w:hint="eastAsia"/>
          <w:sz w:val="34"/>
          <w:szCs w:val="34"/>
        </w:rPr>
      </w:pPr>
    </w:p>
    <w:p w14:paraId="2F19FBC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四、三权分离治理系统</w:t>
      </w:r>
    </w:p>
    <w:p w14:paraId="215A9B0D">
      <w:pPr>
        <w:rPr>
          <w:rFonts w:hint="eastAsia"/>
          <w:sz w:val="34"/>
          <w:szCs w:val="34"/>
        </w:rPr>
      </w:pPr>
    </w:p>
    <w:p w14:paraId="5F93C4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目标指向：保障实现三大目标的路径不被异化。</w:t>
      </w:r>
    </w:p>
    <w:p w14:paraId="23416BBF">
      <w:pPr>
        <w:rPr>
          <w:rFonts w:hint="eastAsia"/>
          <w:sz w:val="34"/>
          <w:szCs w:val="34"/>
        </w:rPr>
      </w:pPr>
    </w:p>
    <w:p w14:paraId="1A9B9A0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必须区分资源使用权、领域决策权、文明表决权。资源使用权全域统一，按贡献值总量分级配置。领域决策权在特定专业领域内按该子域贡献加权，不跨域。文明表决权涉及不可逆方向、全体根本权益、重大公共风险时，一人一票，贡献值清零。领域决策权和文明表决权在任何情况下不可继承。</w:t>
      </w:r>
    </w:p>
    <w:p w14:paraId="47616337">
      <w:pPr>
        <w:rPr>
          <w:rFonts w:hint="eastAsia"/>
          <w:sz w:val="34"/>
          <w:szCs w:val="34"/>
        </w:rPr>
      </w:pPr>
    </w:p>
    <w:p w14:paraId="5CCE235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五、AGI辅助治理系统</w:t>
      </w:r>
    </w:p>
    <w:p w14:paraId="7C45B7CA">
      <w:pPr>
        <w:rPr>
          <w:rFonts w:hint="eastAsia"/>
          <w:sz w:val="34"/>
          <w:szCs w:val="34"/>
        </w:rPr>
      </w:pPr>
    </w:p>
    <w:p w14:paraId="654FEAA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目标指向：作为纯粹的工具，其价值在于是否能成为实现三大目标的放大器。</w:t>
      </w:r>
    </w:p>
    <w:p w14:paraId="3ADE943E">
      <w:pPr>
        <w:rPr>
          <w:rFonts w:hint="eastAsia"/>
          <w:sz w:val="34"/>
          <w:szCs w:val="34"/>
        </w:rPr>
      </w:pPr>
    </w:p>
    <w:p w14:paraId="73EAB8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可用于资源空置识别、供需匹配、贡献核验辅助、风险预警、政策模拟、公共服务调度、居民需求响应等。AGI不得单独决定人的资格，不得单独剥夺资源使用权，不得单独改变公共规则，不得单独定义文明目标，不得黑箱影响重大决策。</w:t>
      </w:r>
    </w:p>
    <w:p w14:paraId="2CA5ED5A">
      <w:pPr>
        <w:rPr>
          <w:rFonts w:hint="eastAsia"/>
          <w:sz w:val="34"/>
          <w:szCs w:val="34"/>
        </w:rPr>
      </w:pPr>
    </w:p>
    <w:p w14:paraId="1B0E73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六、意义涌现与人心系统</w:t>
      </w:r>
    </w:p>
    <w:p w14:paraId="76375B84">
      <w:pPr>
        <w:rPr>
          <w:rFonts w:hint="eastAsia"/>
          <w:sz w:val="34"/>
          <w:szCs w:val="34"/>
        </w:rPr>
      </w:pPr>
    </w:p>
    <w:p w14:paraId="3024611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专门负责对生命更有意义和生活幸福进行观测、研究和守护。这是防止整个实验区陷入“数据好看、人心失落”的熵增陷阱的最后防线。没有意义涌现，实验区只会成为更先进的管理系统，不会成为文明高地。</w:t>
      </w:r>
    </w:p>
    <w:p w14:paraId="2D2676FD">
      <w:pPr>
        <w:rPr>
          <w:rFonts w:hint="eastAsia"/>
          <w:sz w:val="34"/>
          <w:szCs w:val="34"/>
        </w:rPr>
      </w:pPr>
    </w:p>
    <w:p w14:paraId="53406F2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7EFF8B82">
      <w:pPr>
        <w:rPr>
          <w:rFonts w:hint="eastAsia"/>
          <w:sz w:val="34"/>
          <w:szCs w:val="34"/>
        </w:rPr>
      </w:pPr>
    </w:p>
    <w:p w14:paraId="5C8027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一、贡献值生成机制：四条底层原则</w:t>
      </w:r>
    </w:p>
    <w:p w14:paraId="294F6D3E">
      <w:pPr>
        <w:rPr>
          <w:rFonts w:hint="eastAsia"/>
          <w:sz w:val="34"/>
          <w:szCs w:val="34"/>
        </w:rPr>
      </w:pPr>
    </w:p>
    <w:p w14:paraId="43672C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原则一：动机无须考虑原则。 系统只确认行为的客观结果是否对三大元目标产生了净正向贡献。行为者的主观动机一概不予考虑。</w:t>
      </w:r>
    </w:p>
    <w:p w14:paraId="4681722A">
      <w:pPr>
        <w:rPr>
          <w:rFonts w:hint="eastAsia"/>
          <w:sz w:val="34"/>
          <w:szCs w:val="34"/>
        </w:rPr>
      </w:pPr>
    </w:p>
    <w:p w14:paraId="5CE368D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原则二：贡献非捐赠原则。 捐赠是单向给予，捐赠者可指定用途和受益对象。贡献是客观结果的确认，贡献者不能指定“我的贡献只能被算作什么”。系统记录的是行为的客观流向和最终结果。</w:t>
      </w:r>
    </w:p>
    <w:p w14:paraId="47D5A976">
      <w:pPr>
        <w:rPr>
          <w:rFonts w:hint="eastAsia"/>
          <w:sz w:val="34"/>
          <w:szCs w:val="34"/>
        </w:rPr>
      </w:pPr>
    </w:p>
    <w:p w14:paraId="5E9E4EB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原则三：对三目标有实质贡献即获贡献值，不分形式与来源。 资产类贡献与行为类贡献平等确认。贡献分大小，不分来源。</w:t>
      </w:r>
    </w:p>
    <w:p w14:paraId="722C7D22">
      <w:pPr>
        <w:rPr>
          <w:rFonts w:hint="eastAsia"/>
          <w:sz w:val="34"/>
          <w:szCs w:val="34"/>
        </w:rPr>
      </w:pPr>
    </w:p>
    <w:p w14:paraId="27C1189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原则四：事实锚定、正负分离、领域关联、后向追溯。</w:t>
      </w:r>
    </w:p>
    <w:p w14:paraId="5DBCDBCD">
      <w:pPr>
        <w:rPr>
          <w:rFonts w:hint="eastAsia"/>
          <w:sz w:val="34"/>
          <w:szCs w:val="34"/>
        </w:rPr>
      </w:pPr>
    </w:p>
    <w:p w14:paraId="6F8177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事实锚定：只对真实发生、可验证、可追溯的贡献生成记录。</w:t>
      </w:r>
    </w:p>
    <w:p w14:paraId="05D1A4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正负分离：不得允许“先制造问题、再捐赠修复”抵消负向行为。</w:t>
      </w:r>
    </w:p>
    <w:p w14:paraId="737D9A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领域关联：专业贡献只影响相关领域决策权，不跨域扩张。</w:t>
      </w:r>
    </w:p>
    <w:p w14:paraId="4A8A415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后向追溯：高风险技术下注、重大公共创新、长期项目贡献应在风险未爆发且转化为普惠事实后再追溯追加贡献。</w:t>
      </w:r>
    </w:p>
    <w:p w14:paraId="78CAC045">
      <w:pPr>
        <w:rPr>
          <w:rFonts w:hint="eastAsia"/>
          <w:sz w:val="34"/>
          <w:szCs w:val="34"/>
        </w:rPr>
      </w:pPr>
    </w:p>
    <w:p w14:paraId="7014741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二、资产类贡献确认机制</w:t>
      </w:r>
    </w:p>
    <w:p w14:paraId="5E0D864B">
      <w:pPr>
        <w:rPr>
          <w:rFonts w:hint="eastAsia"/>
          <w:sz w:val="34"/>
          <w:szCs w:val="34"/>
        </w:rPr>
      </w:pPr>
    </w:p>
    <w:p w14:paraId="31C3DB2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资产类贡献确认依据包括资产价值、开放范围、开放期限，以及资产被实际使用后产生的正向结果。进入公共池的确认权重高于进入私用池。若资产长期未被使用或使用结果背离三目标，贡献值按审计结果核减。</w:t>
      </w:r>
    </w:p>
    <w:p w14:paraId="497074DB">
      <w:pPr>
        <w:rPr>
          <w:rFonts w:hint="eastAsia"/>
          <w:sz w:val="34"/>
          <w:szCs w:val="34"/>
        </w:rPr>
      </w:pPr>
    </w:p>
    <w:p w14:paraId="39454EA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估值由第三方独立评估机构完成。贡献值量化细则（含资产估值标准、普惠系数、行为类标准化折算、代际衰减阶梯等）作为配套文件独立发布，由制度委员会在底座建设期制定，运行后根据实践数据动态迭代。</w:t>
      </w:r>
    </w:p>
    <w:p w14:paraId="34FDF410">
      <w:pPr>
        <w:rPr>
          <w:rFonts w:hint="eastAsia"/>
          <w:sz w:val="34"/>
          <w:szCs w:val="34"/>
        </w:rPr>
      </w:pPr>
    </w:p>
    <w:p w14:paraId="02D096E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三、行为类贡献确认机制</w:t>
      </w:r>
    </w:p>
    <w:p w14:paraId="79288268">
      <w:pPr>
        <w:rPr>
          <w:rFonts w:hint="eastAsia"/>
          <w:sz w:val="34"/>
          <w:szCs w:val="34"/>
        </w:rPr>
      </w:pPr>
    </w:p>
    <w:p w14:paraId="54B88C3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贡献按以下框架确认：劳动/服务类按时长和技能水平折算，受益方确认与多方核验；照护/陪伴类按确认时长折算，隐私保护优先，受助方反馈为核心依据；知识/技术类按开源密度、实际调用频次、衍生社会效益综合折算；风险承担类后向追溯，按项目公共收益事后折算。小额低价值贡献采用AGI自动核验加事后抽查；大额资产和高影响力公共行为实行“AGI初审加人工审计委员会复核”双轨核验。</w:t>
      </w:r>
    </w:p>
    <w:p w14:paraId="4988CD2C">
      <w:pPr>
        <w:rPr>
          <w:rFonts w:hint="eastAsia"/>
          <w:sz w:val="34"/>
          <w:szCs w:val="34"/>
        </w:rPr>
      </w:pPr>
    </w:p>
    <w:p w14:paraId="168309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四、贡献值继承机制</w:t>
      </w:r>
    </w:p>
    <w:p w14:paraId="1744218A">
      <w:pPr>
        <w:rPr>
          <w:rFonts w:hint="eastAsia"/>
          <w:sz w:val="34"/>
          <w:szCs w:val="34"/>
        </w:rPr>
      </w:pPr>
    </w:p>
    <w:p w14:paraId="2CCA1C0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在贡献者去世后按规定比例转移给法定继承人。继承贡献值标记为“继承贡献值”，与“原生贡献值”区分。继承贡献值按代际衰减。继承贡献值可用于基础资源使用权和社会信用，但不能用于需要专业能力证明的高等级资源使用权。决策权在任何情况下不可继承。</w:t>
      </w:r>
    </w:p>
    <w:p w14:paraId="27EEBCC8">
      <w:pPr>
        <w:rPr>
          <w:rFonts w:hint="eastAsia"/>
          <w:sz w:val="34"/>
          <w:szCs w:val="34"/>
        </w:rPr>
      </w:pPr>
    </w:p>
    <w:p w14:paraId="7F21A2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五、贡献值换算标准框架</w:t>
      </w:r>
    </w:p>
    <w:p w14:paraId="5F9B6F0E">
      <w:pPr>
        <w:rPr>
          <w:rFonts w:hint="eastAsia"/>
          <w:sz w:val="34"/>
          <w:szCs w:val="34"/>
        </w:rPr>
      </w:pPr>
    </w:p>
    <w:p w14:paraId="25E835C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贡献大类 基础折算逻辑 调节系数 确认方式</w:t>
      </w:r>
    </w:p>
    <w:p w14:paraId="060E4C6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资产类—公共池 资产价值×普惠系数 高于私用池 初始确认+使用结果追加</w:t>
      </w:r>
    </w:p>
    <w:p w14:paraId="30E0C3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资产类—私用池 资产价值×使用效率系数 低于公共池 初始确认+使用结果追加</w:t>
      </w:r>
    </w:p>
    <w:p w14:paraId="7B2D41A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行为类—劳动/服务 时长×技能系数 按领域调节 多方确认+受益方反馈</w:t>
      </w:r>
    </w:p>
    <w:p w14:paraId="7CC8881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行为类—照护/陪伴 确认时长 隐私保护优先 受助方反馈+组织记录</w:t>
      </w:r>
    </w:p>
    <w:p w14:paraId="136DDB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行为类—知识/技术 开源密度×调用频次 按衍生效益调节 专家复核+使用数据</w:t>
      </w:r>
    </w:p>
    <w:p w14:paraId="5D361F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行为类—风险承担 项目公共收益×风险系数 后向追溯 长期复盘+审计确认</w:t>
      </w:r>
    </w:p>
    <w:p w14:paraId="29F65F88">
      <w:pPr>
        <w:rPr>
          <w:rFonts w:hint="eastAsia"/>
          <w:sz w:val="34"/>
          <w:szCs w:val="34"/>
        </w:rPr>
      </w:pPr>
    </w:p>
    <w:p w14:paraId="7FAE73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年度衰减系数持续贡献者维持等级，停止贡献者自然降级。</w:t>
      </w:r>
    </w:p>
    <w:p w14:paraId="65A659EA">
      <w:pPr>
        <w:rPr>
          <w:rFonts w:hint="eastAsia"/>
          <w:sz w:val="34"/>
          <w:szCs w:val="34"/>
        </w:rPr>
      </w:pPr>
    </w:p>
    <w:p w14:paraId="05F8ED1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六、资源池运行机制</w:t>
      </w:r>
    </w:p>
    <w:p w14:paraId="5C6D5EAC">
      <w:pPr>
        <w:rPr>
          <w:rFonts w:hint="eastAsia"/>
          <w:sz w:val="34"/>
          <w:szCs w:val="34"/>
        </w:rPr>
      </w:pPr>
    </w:p>
    <w:p w14:paraId="400744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进入哪个池，由资源自然属性、社会公域需求状态和资源真实使用结果三重因素共同判定。资源提供者可提出倾向性意见，但不具有强制约束力。AGI辅助治理系统提出池类归属建议，公开、可解释、可审计。资源提供者对归属判定有异议时，可申请人工复核，由审计与伦理委员会独立完成。</w:t>
      </w:r>
    </w:p>
    <w:p w14:paraId="37A722AC">
      <w:pPr>
        <w:rPr>
          <w:rFonts w:hint="eastAsia"/>
          <w:sz w:val="34"/>
          <w:szCs w:val="34"/>
        </w:rPr>
      </w:pPr>
    </w:p>
    <w:p w14:paraId="6674AE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资源池运行八步流程：资源登记→资源评估→池类判定→资源开放→资源匹配→资源使用→效果反馈→审计与再配置。</w:t>
      </w:r>
    </w:p>
    <w:p w14:paraId="6E297B15">
      <w:pPr>
        <w:rPr>
          <w:rFonts w:hint="eastAsia"/>
          <w:sz w:val="34"/>
          <w:szCs w:val="34"/>
        </w:rPr>
      </w:pPr>
    </w:p>
    <w:p w14:paraId="220C7A3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七、三权分离运行机制</w:t>
      </w:r>
    </w:p>
    <w:p w14:paraId="5D3E57B2">
      <w:pPr>
        <w:rPr>
          <w:rFonts w:hint="eastAsia"/>
          <w:sz w:val="34"/>
          <w:szCs w:val="34"/>
        </w:rPr>
      </w:pPr>
    </w:p>
    <w:p w14:paraId="5C33255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资源使用权：按贡献值总量统一分级。贡献值由全域贡献和细分子域贡献加总构成。资源使用权不绑定所有权，不购买文明表决权。</w:t>
      </w:r>
    </w:p>
    <w:p w14:paraId="46C3439C">
      <w:pPr>
        <w:rPr>
          <w:rFonts w:hint="eastAsia"/>
          <w:sz w:val="34"/>
          <w:szCs w:val="34"/>
        </w:rPr>
      </w:pPr>
    </w:p>
    <w:p w14:paraId="0ADCD84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领域决策权：在特定专业领域内按该子域贡献加权，不跨域。权重上限防止单一高贡献者实质控制该领域方向。达到重大公共风险阈值时自动升维为文明表决。</w:t>
      </w:r>
    </w:p>
    <w:p w14:paraId="6312D4EC">
      <w:pPr>
        <w:rPr>
          <w:rFonts w:hint="eastAsia"/>
          <w:sz w:val="34"/>
          <w:szCs w:val="34"/>
        </w:rPr>
      </w:pPr>
    </w:p>
    <w:p w14:paraId="7E6E4F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文明表决权：涉及不可逆方向、全体根本权益、重大公共风险时，一人一票，贡献值清零。</w:t>
      </w:r>
    </w:p>
    <w:p w14:paraId="6A0137E2">
      <w:pPr>
        <w:rPr>
          <w:rFonts w:hint="eastAsia"/>
          <w:sz w:val="34"/>
          <w:szCs w:val="34"/>
        </w:rPr>
      </w:pPr>
    </w:p>
    <w:p w14:paraId="4420D33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常规与重大事项双轨决策：普通资源调配、公共服务调度属于常规事项，仅需资源池平台加领域专业委员会审核，无需启动文明表决。涉及产权规则调整、实验区制度修改、不可逆技术部署、基础生存保障规则变更等重大事项，必须启动一人一票文明表决。双轨制在保障民主底线的同时，确保行政效率。</w:t>
      </w:r>
    </w:p>
    <w:p w14:paraId="305889B4">
      <w:pPr>
        <w:rPr>
          <w:rFonts w:hint="eastAsia"/>
          <w:sz w:val="34"/>
          <w:szCs w:val="34"/>
        </w:rPr>
      </w:pPr>
    </w:p>
    <w:p w14:paraId="6FB8A36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权力仲裁与熔断机制：当三权发生冲突时，文明表决权为最终裁决者。争议处理期间相关决策暂停执行。</w:t>
      </w:r>
    </w:p>
    <w:p w14:paraId="5C04290C">
      <w:pPr>
        <w:rPr>
          <w:rFonts w:hint="eastAsia"/>
          <w:sz w:val="34"/>
          <w:szCs w:val="34"/>
        </w:rPr>
      </w:pPr>
    </w:p>
    <w:p w14:paraId="494769E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31D9E775">
      <w:pPr>
        <w:rPr>
          <w:rFonts w:hint="eastAsia"/>
          <w:sz w:val="34"/>
          <w:szCs w:val="34"/>
        </w:rPr>
      </w:pPr>
    </w:p>
    <w:p w14:paraId="72E7585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一、总体原则</w:t>
      </w:r>
    </w:p>
    <w:p w14:paraId="6B8F607C">
      <w:pPr>
        <w:rPr>
          <w:rFonts w:hint="eastAsia"/>
          <w:sz w:val="34"/>
          <w:szCs w:val="34"/>
        </w:rPr>
      </w:pPr>
    </w:p>
    <w:p w14:paraId="268865E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技术系统必须服从文明目标，不能成为新的支配者。</w:t>
      </w:r>
    </w:p>
    <w:p w14:paraId="67DCA85D">
      <w:pPr>
        <w:rPr>
          <w:rFonts w:hint="eastAsia"/>
          <w:sz w:val="34"/>
          <w:szCs w:val="34"/>
        </w:rPr>
      </w:pPr>
    </w:p>
    <w:p w14:paraId="751FDE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二、分阶段技术落地策略</w:t>
      </w:r>
    </w:p>
    <w:p w14:paraId="0A01B0F3">
      <w:pPr>
        <w:rPr>
          <w:rFonts w:hint="eastAsia"/>
          <w:sz w:val="34"/>
          <w:szCs w:val="34"/>
        </w:rPr>
      </w:pPr>
    </w:p>
    <w:p w14:paraId="787A716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第2期（底座建设期）：搭建轻量化原型，完成资源登记、贡献核验基础模块；</w:t>
      </w:r>
    </w:p>
    <w:p w14:paraId="3AD62ED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第3期（局部完整运行期）：扩展至资源匹配、公民表决、审计追踪模块；</w:t>
      </w:r>
    </w:p>
    <w:p w14:paraId="37F6D1E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第4-5期（扩展与成型期）：迭代AGI政策模拟、全域态势感知等高阶功能。</w:t>
      </w:r>
    </w:p>
    <w:p w14:paraId="752D6B3D">
      <w:pPr>
        <w:rPr>
          <w:rFonts w:hint="eastAsia"/>
          <w:sz w:val="34"/>
          <w:szCs w:val="34"/>
        </w:rPr>
      </w:pPr>
    </w:p>
    <w:p w14:paraId="5DBD6A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分阶段策略降低前期财政投入压力，且允许在运行中根据实践反馈调整技术方案。</w:t>
      </w:r>
    </w:p>
    <w:p w14:paraId="7A7E55E8">
      <w:pPr>
        <w:rPr>
          <w:rFonts w:hint="eastAsia"/>
          <w:sz w:val="34"/>
          <w:szCs w:val="34"/>
        </w:rPr>
      </w:pPr>
    </w:p>
    <w:p w14:paraId="0D5ABCF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三、城市资源池平台</w:t>
      </w:r>
    </w:p>
    <w:p w14:paraId="22852AC5">
      <w:pPr>
        <w:rPr>
          <w:rFonts w:hint="eastAsia"/>
          <w:sz w:val="34"/>
          <w:szCs w:val="34"/>
        </w:rPr>
      </w:pPr>
    </w:p>
    <w:p w14:paraId="1C599AF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功能包括资源登记、资源分类、空置识别、开放发布、池类判定辅助、申请匹配、使用记录、效果反馈、审计追踪、争议处理。</w:t>
      </w:r>
    </w:p>
    <w:p w14:paraId="71A58565">
      <w:pPr>
        <w:rPr>
          <w:rFonts w:hint="eastAsia"/>
          <w:sz w:val="34"/>
          <w:szCs w:val="34"/>
        </w:rPr>
      </w:pPr>
    </w:p>
    <w:p w14:paraId="39E825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四、贡献事实核验平台</w:t>
      </w:r>
    </w:p>
    <w:p w14:paraId="48E0F689">
      <w:pPr>
        <w:rPr>
          <w:rFonts w:hint="eastAsia"/>
          <w:sz w:val="34"/>
          <w:szCs w:val="34"/>
        </w:rPr>
      </w:pPr>
    </w:p>
    <w:p w14:paraId="0282490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功能包括贡献申报、证据上传、受益方确认、多源数据交叉验证、AGI异常识别、人工复核、申诉与纠错、贡献画像生成。贡献画像不是人格画像。</w:t>
      </w:r>
    </w:p>
    <w:p w14:paraId="28AFD6F1">
      <w:pPr>
        <w:rPr>
          <w:rFonts w:hint="eastAsia"/>
          <w:sz w:val="34"/>
          <w:szCs w:val="34"/>
        </w:rPr>
      </w:pPr>
    </w:p>
    <w:p w14:paraId="0E27CE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五、AGI辅助治理平台</w:t>
      </w:r>
    </w:p>
    <w:p w14:paraId="689E1FCD">
      <w:pPr>
        <w:rPr>
          <w:rFonts w:hint="eastAsia"/>
          <w:sz w:val="34"/>
          <w:szCs w:val="34"/>
        </w:rPr>
      </w:pPr>
    </w:p>
    <w:p w14:paraId="4FBD276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功能包括城市运行态势感知、公共服务需求预测、资源调度建议、资源池类归属判定辅助、政策模拟、风险预警、群体影响评估、决策解释生成、公共议题答疑。平台必须具备可解释、可审计、可暂停、可回滚、可申诉机制。所有AGI输出结果附带量化解释报告，资源池归属、贡献值核算逻辑全程可导出明细。</w:t>
      </w:r>
    </w:p>
    <w:p w14:paraId="26062A8D">
      <w:pPr>
        <w:rPr>
          <w:rFonts w:hint="eastAsia"/>
          <w:sz w:val="34"/>
          <w:szCs w:val="34"/>
        </w:rPr>
      </w:pPr>
    </w:p>
    <w:p w14:paraId="5EA1827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六、公民参与与表决平台</w:t>
      </w:r>
    </w:p>
    <w:p w14:paraId="2B963688">
      <w:pPr>
        <w:rPr>
          <w:rFonts w:hint="eastAsia"/>
          <w:sz w:val="34"/>
          <w:szCs w:val="34"/>
        </w:rPr>
      </w:pPr>
    </w:p>
    <w:p w14:paraId="0DAB7DE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七、审计与透明平台</w:t>
      </w:r>
    </w:p>
    <w:p w14:paraId="19D7A519">
      <w:pPr>
        <w:rPr>
          <w:rFonts w:hint="eastAsia"/>
          <w:sz w:val="34"/>
          <w:szCs w:val="34"/>
        </w:rPr>
      </w:pPr>
    </w:p>
    <w:p w14:paraId="1A7A39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八、数据治理原则</w:t>
      </w:r>
    </w:p>
    <w:p w14:paraId="2466439C">
      <w:pPr>
        <w:rPr>
          <w:rFonts w:hint="eastAsia"/>
          <w:sz w:val="34"/>
          <w:szCs w:val="34"/>
        </w:rPr>
      </w:pPr>
    </w:p>
    <w:p w14:paraId="466FB95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数据最小化。 2. 分级授权与物理隔离。 民生基础数据、贡献信用数据、企业经营数据物理隔离。全域轨迹数据仅用于资源匹配，禁止用于居民信用打分或行政处罚。3. 用途限定。 4. 可撤回。 5. 可追责。 6. 可审计。 设立独立第三方数据安全委员会，定期审计数据使用合规性。</w:t>
      </w:r>
    </w:p>
    <w:p w14:paraId="3402AE99">
      <w:pPr>
        <w:rPr>
          <w:rFonts w:hint="eastAsia"/>
          <w:sz w:val="34"/>
          <w:szCs w:val="34"/>
        </w:rPr>
      </w:pPr>
    </w:p>
    <w:p w14:paraId="0859B5F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56298024">
      <w:pPr>
        <w:rPr>
          <w:rFonts w:hint="eastAsia"/>
          <w:sz w:val="34"/>
          <w:szCs w:val="34"/>
        </w:rPr>
      </w:pPr>
    </w:p>
    <w:p w14:paraId="0C85B7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实验区的最终成果，将直接由“生存无忧”、“生活幸福”、“生命更有意义”三大元目标指数来衡量。其余指标都是解释这三个指数为何上升或下降的过程性指标。</w:t>
      </w:r>
    </w:p>
    <w:p w14:paraId="6056F0F7">
      <w:pPr>
        <w:rPr>
          <w:rFonts w:hint="eastAsia"/>
          <w:sz w:val="34"/>
          <w:szCs w:val="34"/>
        </w:rPr>
      </w:pPr>
    </w:p>
    <w:p w14:paraId="24A314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一、元目标综合指数</w:t>
      </w:r>
    </w:p>
    <w:p w14:paraId="5A6862E9">
      <w:pPr>
        <w:rPr>
          <w:rFonts w:hint="eastAsia"/>
          <w:sz w:val="34"/>
          <w:szCs w:val="34"/>
        </w:rPr>
      </w:pPr>
    </w:p>
    <w:p w14:paraId="3B85DD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指数：基础生活成本下降幅度、食物安全保障度、居住安全保障度、医疗可及性、教育可及性、基础能源保障、基础交通保障、基础信息获取、基础AGI使用能力、弱势群体生活稳定性。核心可量化指标示例：房租收入比、基础医疗自付比例、普惠算力覆盖率、基础食品保障率。</w:t>
      </w:r>
    </w:p>
    <w:p w14:paraId="4F9DEDAD">
      <w:pPr>
        <w:rPr>
          <w:rFonts w:hint="eastAsia"/>
          <w:sz w:val="34"/>
          <w:szCs w:val="34"/>
        </w:rPr>
      </w:pPr>
    </w:p>
    <w:p w14:paraId="1AEC2C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生活幸福指数：公共服务满意度、家庭压力变化、社区信任度、自由时间充裕度、非羞辱性保障体验、公共空间可及性、生活稳定预期、公平感、上升通道清晰度、社会关系质量。核心可量化指标示例：自由时间变化率、社区信任度问卷得分、公共服务满意度、家庭压力指数。</w:t>
      </w:r>
    </w:p>
    <w:p w14:paraId="7E3D91AC">
      <w:pPr>
        <w:rPr>
          <w:rFonts w:hint="eastAsia"/>
          <w:sz w:val="34"/>
          <w:szCs w:val="34"/>
        </w:rPr>
      </w:pPr>
    </w:p>
    <w:p w14:paraId="019ECED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生命意义指数：居民价值感、被需要焦虑下降程度、孤独感下降程度、参与公共事务意愿、普通贡献被看见程度、照护劳动承认度、人机协作意义感、贡献值继承对生命意义感的提升效果。核心可量化指标示例：照护劳动被记录人数、月度无意义感问卷得分、社区参与频次、贡献者继承意愿指数。</w:t>
      </w:r>
    </w:p>
    <w:p w14:paraId="4DE1548A">
      <w:pPr>
        <w:rPr>
          <w:rFonts w:hint="eastAsia"/>
          <w:sz w:val="34"/>
          <w:szCs w:val="34"/>
        </w:rPr>
      </w:pPr>
    </w:p>
    <w:p w14:paraId="2B359B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二、关键过程性指标</w:t>
      </w:r>
    </w:p>
    <w:p w14:paraId="2A9E270C">
      <w:pPr>
        <w:rPr>
          <w:rFonts w:hint="eastAsia"/>
          <w:sz w:val="34"/>
          <w:szCs w:val="34"/>
        </w:rPr>
      </w:pPr>
    </w:p>
    <w:p w14:paraId="1C93D9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资源有效使用指数：闲置资源转化率、公共资源使用率、设备共享率、空间使用率、算力有效调用率、重复建设减少率、公共池与私用池资源配置比例。</w:t>
      </w:r>
    </w:p>
    <w:p w14:paraId="2CB2DAE4">
      <w:pPr>
        <w:rPr>
          <w:rFonts w:hint="eastAsia"/>
          <w:sz w:val="34"/>
          <w:szCs w:val="34"/>
        </w:rPr>
      </w:pPr>
    </w:p>
    <w:p w14:paraId="2366DF3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贡献识别与流通指数：被记录贡献人数、资产类贡献占比、行为类贡献占比、照护与维护类贡献占比、贡献确认可信度、贡献申诉纠错率、贡献值继承率。</w:t>
      </w:r>
    </w:p>
    <w:p w14:paraId="246E10CD">
      <w:pPr>
        <w:rPr>
          <w:rFonts w:hint="eastAsia"/>
          <w:sz w:val="34"/>
          <w:szCs w:val="34"/>
        </w:rPr>
      </w:pPr>
    </w:p>
    <w:p w14:paraId="7C096AB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三权分离健康指数：资源使用权配置公平性、领域决策权边界清晰度、文明表决权激活有效性、贡献值越权事件数量、继承贡献值使用合规度。</w:t>
      </w:r>
    </w:p>
    <w:p w14:paraId="3CD34DAC">
      <w:pPr>
        <w:rPr>
          <w:rFonts w:hint="eastAsia"/>
          <w:sz w:val="34"/>
          <w:szCs w:val="34"/>
        </w:rPr>
      </w:pPr>
    </w:p>
    <w:p w14:paraId="2331D22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AGI辅助治理安全指数：AGI建议可解释率、人工复核率、误判纠正率、审计日志完整性、高风险决策人工介入率。</w:t>
      </w:r>
    </w:p>
    <w:p w14:paraId="00CDC5B1">
      <w:pPr>
        <w:rPr>
          <w:rFonts w:hint="eastAsia"/>
          <w:sz w:val="34"/>
          <w:szCs w:val="34"/>
        </w:rPr>
      </w:pPr>
    </w:p>
    <w:p w14:paraId="3037439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财政可持续指数：基础生存保障资金自给率、资源池运营收益增长率、外部依赖度下降曲线。</w:t>
      </w:r>
    </w:p>
    <w:p w14:paraId="7D632B57">
      <w:pPr>
        <w:rPr>
          <w:rFonts w:hint="eastAsia"/>
          <w:sz w:val="34"/>
          <w:szCs w:val="34"/>
        </w:rPr>
      </w:pPr>
    </w:p>
    <w:p w14:paraId="152592C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文明高地综合指数：综合以上元目标指数与关键过程指标，判断实验区整体成效。</w:t>
      </w:r>
    </w:p>
    <w:p w14:paraId="2125A045">
      <w:pPr>
        <w:rPr>
          <w:rFonts w:hint="eastAsia"/>
          <w:sz w:val="34"/>
          <w:szCs w:val="34"/>
        </w:rPr>
      </w:pPr>
    </w:p>
    <w:p w14:paraId="38EE605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0E9955D9">
      <w:pPr>
        <w:rPr>
          <w:rFonts w:hint="eastAsia"/>
          <w:sz w:val="34"/>
          <w:szCs w:val="34"/>
        </w:rPr>
      </w:pPr>
    </w:p>
    <w:p w14:paraId="42619B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采用“一办、四委、三平台”的组织结构。</w:t>
      </w:r>
    </w:p>
    <w:p w14:paraId="49E471D7">
      <w:pPr>
        <w:rPr>
          <w:rFonts w:hint="eastAsia"/>
          <w:sz w:val="34"/>
          <w:szCs w:val="34"/>
        </w:rPr>
      </w:pPr>
    </w:p>
    <w:p w14:paraId="1A1BD7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一、一办：文明跃迁实验区办公室</w:t>
      </w:r>
    </w:p>
    <w:p w14:paraId="1EACE722">
      <w:pPr>
        <w:rPr>
          <w:rFonts w:hint="eastAsia"/>
          <w:sz w:val="34"/>
          <w:szCs w:val="34"/>
        </w:rPr>
      </w:pPr>
    </w:p>
    <w:p w14:paraId="31CAF9F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二、四委</w:t>
      </w:r>
    </w:p>
    <w:p w14:paraId="2A0E2F0F">
      <w:pPr>
        <w:rPr>
          <w:rFonts w:hint="eastAsia"/>
          <w:sz w:val="34"/>
          <w:szCs w:val="34"/>
        </w:rPr>
      </w:pPr>
    </w:p>
    <w:p w14:paraId="79D59E2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制度委员会。 负责资源池规则、贡献值规则、继承规则、三权分离、公民表决、纠错机制。</w:t>
      </w:r>
    </w:p>
    <w:p w14:paraId="584179FF">
      <w:pPr>
        <w:rPr>
          <w:rFonts w:hint="eastAsia"/>
          <w:sz w:val="34"/>
          <w:szCs w:val="34"/>
        </w:rPr>
      </w:pPr>
    </w:p>
    <w:p w14:paraId="6FA952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技术委员会。 负责AGI辅助治理、数据接口、隐私计算、系统安全、算法审计。</w:t>
      </w:r>
    </w:p>
    <w:p w14:paraId="15FF8239">
      <w:pPr>
        <w:rPr>
          <w:rFonts w:hint="eastAsia"/>
          <w:sz w:val="34"/>
          <w:szCs w:val="34"/>
        </w:rPr>
      </w:pPr>
    </w:p>
    <w:p w14:paraId="335411F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审计与伦理委员会。 负责权力监督、数据监督、贡献申诉、反套利、反歧视、风险熔断、资源池类归属争议复核。</w:t>
      </w:r>
    </w:p>
    <w:p w14:paraId="4EDAE975">
      <w:pPr>
        <w:rPr>
          <w:rFonts w:hint="eastAsia"/>
          <w:sz w:val="34"/>
          <w:szCs w:val="34"/>
        </w:rPr>
      </w:pPr>
    </w:p>
    <w:p w14:paraId="58E832D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人心与意义委员会。 整个实验区的“目标纠偏委员会”。持续监测三大元目标的实现状况，有权对任何可能导致熵增或偏离元目标的政策、项目或技术部署提出公开质询和暂停建议。该委员会与制度委员会、审计与伦理委员会建立协同会商机制，定期联合研判，避免单一机构单方面叫停造成治理停滞。居民体验调研常态化嵌入各部门日常工作。</w:t>
      </w:r>
    </w:p>
    <w:p w14:paraId="38E016FF">
      <w:pPr>
        <w:rPr>
          <w:rFonts w:hint="eastAsia"/>
          <w:sz w:val="34"/>
          <w:szCs w:val="34"/>
        </w:rPr>
      </w:pPr>
    </w:p>
    <w:p w14:paraId="284657B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三、三平台</w:t>
      </w:r>
    </w:p>
    <w:p w14:paraId="30C809B3">
      <w:pPr>
        <w:rPr>
          <w:rFonts w:hint="eastAsia"/>
          <w:sz w:val="34"/>
          <w:szCs w:val="34"/>
        </w:rPr>
      </w:pPr>
    </w:p>
    <w:p w14:paraId="0EF00EE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资源池平台。2. 贡献值与治理信用平台。3. AGI辅助治理与审计平台。</w:t>
      </w:r>
    </w:p>
    <w:p w14:paraId="05F61846">
      <w:pPr>
        <w:rPr>
          <w:rFonts w:hint="eastAsia"/>
          <w:sz w:val="34"/>
          <w:szCs w:val="34"/>
        </w:rPr>
      </w:pPr>
    </w:p>
    <w:p w14:paraId="044228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四、外部顾问结构</w:t>
      </w:r>
    </w:p>
    <w:p w14:paraId="739B3394">
      <w:pPr>
        <w:rPr>
          <w:rFonts w:hint="eastAsia"/>
          <w:sz w:val="34"/>
          <w:szCs w:val="34"/>
        </w:rPr>
      </w:pPr>
    </w:p>
    <w:p w14:paraId="2D3F63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国家战略顾问组、城市治理顾问组、AI安全顾问组、法治与伦理顾问组、社会心理与教育顾问组、产业与资源顾问组。</w:t>
      </w:r>
    </w:p>
    <w:p w14:paraId="75DCA533">
      <w:pPr>
        <w:rPr>
          <w:rFonts w:hint="eastAsia"/>
          <w:sz w:val="34"/>
          <w:szCs w:val="34"/>
        </w:rPr>
      </w:pPr>
    </w:p>
    <w:p w14:paraId="4D97336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五、公众参与机制</w:t>
      </w:r>
    </w:p>
    <w:p w14:paraId="140062D6">
      <w:pPr>
        <w:rPr>
          <w:rFonts w:hint="eastAsia"/>
          <w:sz w:val="34"/>
          <w:szCs w:val="34"/>
        </w:rPr>
      </w:pPr>
    </w:p>
    <w:p w14:paraId="721A617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居民议事会、贡献者代表机制、随机抽样公民评议机制、弱势群体反馈机制、公开听证机制、年度公众表决机制。筹备期建立常态化居民听证和企业座谈机制，提前收集产权、保障、贡献规则诉求，从源头减少舆论极化。</w:t>
      </w:r>
    </w:p>
    <w:p w14:paraId="64AAEF52">
      <w:pPr>
        <w:rPr>
          <w:rFonts w:hint="eastAsia"/>
          <w:sz w:val="34"/>
          <w:szCs w:val="34"/>
        </w:rPr>
      </w:pPr>
    </w:p>
    <w:p w14:paraId="6949551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19EFEB8F">
      <w:pPr>
        <w:rPr>
          <w:rFonts w:hint="eastAsia"/>
          <w:sz w:val="34"/>
          <w:szCs w:val="34"/>
        </w:rPr>
      </w:pPr>
    </w:p>
    <w:p w14:paraId="091AEEC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第0期：筹备论证期</w:t>
      </w:r>
    </w:p>
    <w:p w14:paraId="5BD949D9">
      <w:pPr>
        <w:rPr>
          <w:rFonts w:hint="eastAsia"/>
          <w:sz w:val="34"/>
          <w:szCs w:val="34"/>
        </w:rPr>
      </w:pPr>
    </w:p>
    <w:p w14:paraId="401584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形成国家级提案与候选地区方案。完成政策建议书、误读风险报告、选址标准、候选城市清单、专家委员会、最小技术原型说明。</w:t>
      </w:r>
    </w:p>
    <w:p w14:paraId="7687481F">
      <w:pPr>
        <w:rPr>
          <w:rFonts w:hint="eastAsia"/>
          <w:sz w:val="34"/>
          <w:szCs w:val="34"/>
        </w:rPr>
      </w:pPr>
    </w:p>
    <w:p w14:paraId="7609BBE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第1期：授权与建制期</w:t>
      </w:r>
    </w:p>
    <w:p w14:paraId="28F4B573">
      <w:pPr>
        <w:rPr>
          <w:rFonts w:hint="eastAsia"/>
          <w:sz w:val="34"/>
          <w:szCs w:val="34"/>
        </w:rPr>
      </w:pPr>
    </w:p>
    <w:p w14:paraId="066672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获得国家或地方高级别授权，明确实验边界。包括法律边界、资源所有权公有化的授权范围与过渡期安排、数据使用授权、实验区管理机构、伦理与审计委员会、公共资源资产管理法人设立、公众承诺、资源摸底。</w:t>
      </w:r>
    </w:p>
    <w:p w14:paraId="08789A46">
      <w:pPr>
        <w:rPr>
          <w:rFonts w:hint="eastAsia"/>
          <w:sz w:val="34"/>
          <w:szCs w:val="34"/>
        </w:rPr>
      </w:pPr>
    </w:p>
    <w:p w14:paraId="3BAC01E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第2期：底座建设期</w:t>
      </w:r>
    </w:p>
    <w:p w14:paraId="63BC7C26">
      <w:pPr>
        <w:rPr>
          <w:rFonts w:hint="eastAsia"/>
          <w:sz w:val="34"/>
          <w:szCs w:val="34"/>
        </w:rPr>
      </w:pPr>
    </w:p>
    <w:p w14:paraId="563C786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立资源、贡献、AGI、审计四大底座。完成城市资源目录、基础服务底线清单、贡献分类体系、贡献确认规则、贡献值继承规则、贡献值量化细则配套文件、AGI辅助治理边界、数据接口规范、审计规则。技术系统以轻量化原型起步，先搭建资源登记和贡献核验基础模块。</w:t>
      </w:r>
    </w:p>
    <w:p w14:paraId="5DA05965">
      <w:pPr>
        <w:rPr>
          <w:rFonts w:hint="eastAsia"/>
          <w:sz w:val="34"/>
          <w:szCs w:val="34"/>
        </w:rPr>
      </w:pPr>
    </w:p>
    <w:p w14:paraId="5E71BB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第3期：局部完整运行期</w:t>
      </w:r>
    </w:p>
    <w:p w14:paraId="707D67FD">
      <w:pPr>
        <w:rPr>
          <w:rFonts w:hint="eastAsia"/>
          <w:sz w:val="34"/>
          <w:szCs w:val="34"/>
        </w:rPr>
      </w:pPr>
    </w:p>
    <w:p w14:paraId="1619F0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在城区、产业园、大学城或医疗养老片区先行完整运行，保持文明结构完整。运行内容同时包括基础服务、资源池双轨、贡献值双轨、贡献值继承、AGI辅助调度、三权分离、审计与申诉、意义指标。此阶段优先选择小型封闭片区，验证制度矛盾并迭代规则后再扩展。局部运行周期建议不短于两年，充分收集居民和企业反馈。</w:t>
      </w:r>
    </w:p>
    <w:p w14:paraId="4938E821">
      <w:pPr>
        <w:rPr>
          <w:rFonts w:hint="eastAsia"/>
          <w:sz w:val="34"/>
          <w:szCs w:val="34"/>
        </w:rPr>
      </w:pPr>
    </w:p>
    <w:p w14:paraId="0C2CDC6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第4期：城市级扩展期</w:t>
      </w:r>
    </w:p>
    <w:p w14:paraId="2F3AC7E4">
      <w:pPr>
        <w:rPr>
          <w:rFonts w:hint="eastAsia"/>
          <w:sz w:val="34"/>
          <w:szCs w:val="34"/>
        </w:rPr>
      </w:pPr>
    </w:p>
    <w:p w14:paraId="3A3FC5D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从局部完整运行扩展为城市级运行。技术系统扩展至公民表决、资源匹配、审计追踪模块。</w:t>
      </w:r>
    </w:p>
    <w:p w14:paraId="1A1C2372">
      <w:pPr>
        <w:rPr>
          <w:rFonts w:hint="eastAsia"/>
          <w:sz w:val="34"/>
          <w:szCs w:val="34"/>
        </w:rPr>
      </w:pPr>
    </w:p>
    <w:p w14:paraId="19A673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第5期：文明高地成型期</w:t>
      </w:r>
    </w:p>
    <w:p w14:paraId="7F636CE6">
      <w:pPr>
        <w:rPr>
          <w:rFonts w:hint="eastAsia"/>
          <w:sz w:val="34"/>
          <w:szCs w:val="34"/>
        </w:rPr>
      </w:pPr>
    </w:p>
    <w:p w14:paraId="5859B23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形成可被外部观察、学习、比较、复制的文明样板。三大元目标被验证为可以在一个城市范围内系统性地实现。AGI高阶功能（政策模拟、全域态势感知）在此阶段迭代完善。</w:t>
      </w:r>
    </w:p>
    <w:p w14:paraId="52DA4AC4">
      <w:pPr>
        <w:rPr>
          <w:rFonts w:hint="eastAsia"/>
          <w:sz w:val="34"/>
          <w:szCs w:val="34"/>
        </w:rPr>
      </w:pPr>
    </w:p>
    <w:p w14:paraId="39D8AF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731FE79D">
      <w:pPr>
        <w:rPr>
          <w:rFonts w:hint="eastAsia"/>
          <w:sz w:val="34"/>
          <w:szCs w:val="34"/>
        </w:rPr>
      </w:pPr>
    </w:p>
    <w:p w14:paraId="19FCD6F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一、所有权误读风险。 防御：进入资源池即视为自愿将所有权让渡给全体居民共有，不可撤回。不愿让渡所有权的资源持有者，可选择使用权共享平台辅助机制。</w:t>
      </w:r>
    </w:p>
    <w:p w14:paraId="46B50E66">
      <w:pPr>
        <w:rPr>
          <w:rFonts w:hint="eastAsia"/>
          <w:sz w:val="34"/>
          <w:szCs w:val="34"/>
        </w:rPr>
      </w:pPr>
    </w:p>
    <w:p w14:paraId="6D26C9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二、捐赠化风险。 防御：所有贡献确认基于事实锚定和多方交叉验证，提供者的主观意图不作为确认依据。</w:t>
      </w:r>
    </w:p>
    <w:p w14:paraId="3DAF0B71">
      <w:pPr>
        <w:rPr>
          <w:rFonts w:hint="eastAsia"/>
          <w:sz w:val="34"/>
          <w:szCs w:val="34"/>
        </w:rPr>
      </w:pPr>
    </w:p>
    <w:p w14:paraId="0EA25E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三、动机审判风险。 防御：动机无须考虑原则作为系统运行的底层宪法。</w:t>
      </w:r>
    </w:p>
    <w:p w14:paraId="29282ACC">
      <w:pPr>
        <w:rPr>
          <w:rFonts w:hint="eastAsia"/>
          <w:sz w:val="34"/>
          <w:szCs w:val="34"/>
        </w:rPr>
      </w:pPr>
    </w:p>
    <w:p w14:paraId="718BACF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四、贡献购买一切风险。 防御：严格三权分离，领域决策权和文明表决权不可继承。</w:t>
      </w:r>
    </w:p>
    <w:p w14:paraId="6E76BB3A">
      <w:pPr>
        <w:rPr>
          <w:rFonts w:hint="eastAsia"/>
          <w:sz w:val="34"/>
          <w:szCs w:val="34"/>
        </w:rPr>
      </w:pPr>
    </w:p>
    <w:p w14:paraId="0D22BE7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五、贡献值贵族化风险。 防御：代际衰减，继承贡献值与原生贡献值区分，决策权绝对不可继承。</w:t>
      </w:r>
    </w:p>
    <w:p w14:paraId="5C7C28E0">
      <w:pPr>
        <w:rPr>
          <w:rFonts w:hint="eastAsia"/>
          <w:sz w:val="34"/>
          <w:szCs w:val="34"/>
        </w:rPr>
      </w:pPr>
    </w:p>
    <w:p w14:paraId="07DA54D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六、技术官僚垄断风险。 防御：AGI只提供辅助，不可逆方向必须进入文明表决。</w:t>
      </w:r>
    </w:p>
    <w:p w14:paraId="68E06C10">
      <w:pPr>
        <w:rPr>
          <w:rFonts w:hint="eastAsia"/>
          <w:sz w:val="34"/>
          <w:szCs w:val="34"/>
        </w:rPr>
      </w:pPr>
    </w:p>
    <w:p w14:paraId="56AF420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七、资本套利风险。 防御：正负分离、事实锚定、后向追溯、反作秀审计、长期结果验证。建立资本套利动态监测模型，设置量化预警阈值，风险萌芽阶段自动启动人工干预。</w:t>
      </w:r>
    </w:p>
    <w:p w14:paraId="6A176A1E">
      <w:pPr>
        <w:rPr>
          <w:rFonts w:hint="eastAsia"/>
          <w:sz w:val="34"/>
          <w:szCs w:val="34"/>
        </w:rPr>
      </w:pPr>
    </w:p>
    <w:p w14:paraId="0AEFA4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八、地方政绩化风险。 防御：指标公开审计，居民体验纳入核心评价，独立机构参与评估。</w:t>
      </w:r>
    </w:p>
    <w:p w14:paraId="54D52617">
      <w:pPr>
        <w:rPr>
          <w:rFonts w:hint="eastAsia"/>
          <w:sz w:val="34"/>
          <w:szCs w:val="34"/>
        </w:rPr>
      </w:pPr>
    </w:p>
    <w:p w14:paraId="735270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九、数据滥用风险。 防御：数据最小化、用途限定、分级隔离、可撤回、可申诉、可审计。设立独立第三方数据安全委员会。</w:t>
      </w:r>
    </w:p>
    <w:p w14:paraId="536CDA43">
      <w:pPr>
        <w:rPr>
          <w:rFonts w:hint="eastAsia"/>
          <w:sz w:val="34"/>
          <w:szCs w:val="34"/>
        </w:rPr>
      </w:pPr>
    </w:p>
    <w:p w14:paraId="2F72B7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十、AGI失控或黑箱影响风险。 防御：所有AGI建议留痕可解释，高影响事项人工复核。</w:t>
      </w:r>
    </w:p>
    <w:p w14:paraId="75BCC78F">
      <w:pPr>
        <w:rPr>
          <w:rFonts w:hint="eastAsia"/>
          <w:sz w:val="34"/>
          <w:szCs w:val="34"/>
        </w:rPr>
      </w:pPr>
    </w:p>
    <w:p w14:paraId="332311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十一、人心反噬风险。 防御：公众承诺先行，人心与意义委员会常设，筹备期启动常态化居民听证和企业座谈。</w:t>
      </w:r>
    </w:p>
    <w:p w14:paraId="7E3762C5">
      <w:pPr>
        <w:rPr>
          <w:rFonts w:hint="eastAsia"/>
          <w:sz w:val="34"/>
          <w:szCs w:val="34"/>
        </w:rPr>
      </w:pPr>
    </w:p>
    <w:p w14:paraId="366248B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十二、系统熵增风险。 防御：所有新增设计通过目标对齐检验，人心与意义委员会有权提出简化建议。</w:t>
      </w:r>
    </w:p>
    <w:p w14:paraId="454EDEC7">
      <w:pPr>
        <w:rPr>
          <w:rFonts w:hint="eastAsia"/>
          <w:sz w:val="34"/>
          <w:szCs w:val="34"/>
        </w:rPr>
      </w:pPr>
    </w:p>
    <w:p w14:paraId="554B0F6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十三、资源池规模不足风险。 防御：全部资源纳入资源池，在用资源过渡期安排，非在用资源优先公有化。</w:t>
      </w:r>
    </w:p>
    <w:p w14:paraId="1C8586C3">
      <w:pPr>
        <w:rPr>
          <w:rFonts w:hint="eastAsia"/>
          <w:sz w:val="34"/>
          <w:szCs w:val="34"/>
        </w:rPr>
      </w:pPr>
    </w:p>
    <w:p w14:paraId="36BFBE2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十四、动力机制被曲解风险。 防御：对外表达只讲三目标，不讲利益回报。核心动力机制作为内部掌握文件。对外公开的每一条规则，都必须通过“是否会被曲解为利益承诺”的审查。</w:t>
      </w:r>
    </w:p>
    <w:p w14:paraId="6D82298B">
      <w:pPr>
        <w:rPr>
          <w:rFonts w:hint="eastAsia"/>
          <w:sz w:val="34"/>
          <w:szCs w:val="34"/>
        </w:rPr>
      </w:pPr>
    </w:p>
    <w:p w14:paraId="5AFC02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十五、宏观经济波动风险。 防御：资源池收益优先保障底线民生，三层资金平衡机制提供缓冲。</w:t>
      </w:r>
    </w:p>
    <w:p w14:paraId="66AFDDD6">
      <w:pPr>
        <w:rPr>
          <w:rFonts w:hint="eastAsia"/>
          <w:sz w:val="34"/>
          <w:szCs w:val="34"/>
        </w:rPr>
      </w:pPr>
    </w:p>
    <w:p w14:paraId="43D03C0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十六、AGI技术迭代风险。 防御：系统架构解耦设计，分阶段技术落地降低一次性投入风险。</w:t>
      </w:r>
    </w:p>
    <w:p w14:paraId="768FABA6">
      <w:pPr>
        <w:rPr>
          <w:rFonts w:hint="eastAsia"/>
          <w:sz w:val="34"/>
          <w:szCs w:val="34"/>
        </w:rPr>
      </w:pPr>
    </w:p>
    <w:p w14:paraId="4CE19A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十七、人口流动冲击风险。 防御：梯度准入机制，承载力动态监测与预警阈值，外部资源导入预案。</w:t>
      </w:r>
    </w:p>
    <w:p w14:paraId="7B298976">
      <w:pPr>
        <w:rPr>
          <w:rFonts w:hint="eastAsia"/>
          <w:sz w:val="34"/>
          <w:szCs w:val="34"/>
        </w:rPr>
      </w:pPr>
    </w:p>
    <w:p w14:paraId="7DFCB1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十八、舆论极化风险。 防御：公众承诺持续沟通，人心与意义委员会独立发声，规则变动公开透明提前公示。筹备期启动前置沟通机制。</w:t>
      </w:r>
    </w:p>
    <w:p w14:paraId="78D7ACD4">
      <w:pPr>
        <w:rPr>
          <w:rFonts w:hint="eastAsia"/>
          <w:sz w:val="34"/>
          <w:szCs w:val="34"/>
        </w:rPr>
      </w:pPr>
    </w:p>
    <w:p w14:paraId="6F26D4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078AE726">
      <w:pPr>
        <w:rPr>
          <w:rFonts w:hint="eastAsia"/>
          <w:sz w:val="34"/>
          <w:szCs w:val="34"/>
        </w:rPr>
      </w:pPr>
    </w:p>
    <w:p w14:paraId="1BA8B66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一、对公众的表达。 公众首先需要知道：这个实验区不是把人变成分数，不是拿走财产，不是让AI替人决定命运，而是让真实贡献被看见，让闲置资源被用起来，让基础生存更安全，让一个人的贡献可以庇护他所爱的人。</w:t>
      </w:r>
    </w:p>
    <w:p w14:paraId="49490DE9">
      <w:pPr>
        <w:rPr>
          <w:rFonts w:hint="eastAsia"/>
          <w:sz w:val="34"/>
          <w:szCs w:val="34"/>
        </w:rPr>
      </w:pPr>
    </w:p>
    <w:p w14:paraId="7545D3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二、对政府的表达。 这是一项面向AGI时代的国家战略工程，是共同富裕、数字政府、普惠AI、要素市场化配置等现行国家战略在AGI时代的融合升级与综合验证。</w:t>
      </w:r>
    </w:p>
    <w:p w14:paraId="7B2A871E">
      <w:pPr>
        <w:rPr>
          <w:rFonts w:hint="eastAsia"/>
          <w:sz w:val="34"/>
          <w:szCs w:val="34"/>
        </w:rPr>
      </w:pPr>
    </w:p>
    <w:p w14:paraId="4EBAEAD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三、对企业的表达。 企业参与不是被动让渡，而是获得新周期安全红利、制度信用、资源使用机会、公共信任与长期发展空间。</w:t>
      </w:r>
    </w:p>
    <w:p w14:paraId="16B82162">
      <w:pPr>
        <w:rPr>
          <w:rFonts w:hint="eastAsia"/>
          <w:sz w:val="34"/>
          <w:szCs w:val="34"/>
        </w:rPr>
      </w:pPr>
    </w:p>
    <w:p w14:paraId="26257B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四、对技术界的表达。 AGI被放回正确位置：作为人的能力放大器、治理感知器、风险预警器、资源调度器、政策模拟器，而不是文明目标决定者。</w:t>
      </w:r>
    </w:p>
    <w:p w14:paraId="232011D1">
      <w:pPr>
        <w:rPr>
          <w:rFonts w:hint="eastAsia"/>
          <w:sz w:val="34"/>
          <w:szCs w:val="34"/>
        </w:rPr>
      </w:pPr>
    </w:p>
    <w:p w14:paraId="6162115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五、对普通人的表达。 一个人的照护、陪伴、维护、知识传递、社区参与、善意行动，不应继续被旧系统消耗后遗忘。普通人的真实贡献，可以成为新文明的地基。</w:t>
      </w:r>
    </w:p>
    <w:p w14:paraId="55AF524C">
      <w:pPr>
        <w:rPr>
          <w:rFonts w:hint="eastAsia"/>
          <w:sz w:val="34"/>
          <w:szCs w:val="34"/>
        </w:rPr>
      </w:pPr>
    </w:p>
    <w:p w14:paraId="773A32E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六、文明高地叙事。 文明高地不是向世界喊话的地方，而是让世界看见另一种生活已经真实存在的地方。它的叙事力量在于呈现一个简单的事实：在这里，生存更安全，生活更幸福，生命更有意义。而这一切，是可以被看见、被验证、被学习的。</w:t>
      </w:r>
    </w:p>
    <w:p w14:paraId="483B6D45">
      <w:pPr>
        <w:rPr>
          <w:rFonts w:hint="eastAsia"/>
          <w:sz w:val="34"/>
          <w:szCs w:val="34"/>
        </w:rPr>
      </w:pPr>
    </w:p>
    <w:p w14:paraId="21250E8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48C3B29F">
      <w:pPr>
        <w:rPr>
          <w:rFonts w:hint="eastAsia"/>
          <w:sz w:val="34"/>
          <w:szCs w:val="34"/>
        </w:rPr>
      </w:pPr>
    </w:p>
    <w:p w14:paraId="65413D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一、第一批文本工作</w:t>
      </w:r>
    </w:p>
    <w:p w14:paraId="795D9A3C">
      <w:pPr>
        <w:rPr>
          <w:rFonts w:hint="eastAsia"/>
          <w:sz w:val="34"/>
          <w:szCs w:val="34"/>
        </w:rPr>
      </w:pPr>
    </w:p>
    <w:p w14:paraId="38ADC74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完成《AGI时代文明跃迁国家级综合实验区建议书》v0.5修订版。</w:t>
      </w:r>
    </w:p>
    <w:p w14:paraId="464CEFD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完成《文明跃迁城市级实验区总体规划方案》初稿。</w:t>
      </w:r>
    </w:p>
    <w:p w14:paraId="6EB2C0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完成《文明跃迁实验区风险、误读与防御机制》初稿。</w:t>
      </w:r>
    </w:p>
    <w:p w14:paraId="3AD6820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完成《文明跃迁实验区选址评估表》。</w:t>
      </w:r>
    </w:p>
    <w:p w14:paraId="1FA6FE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完成《城市资源池目录模板》。</w:t>
      </w:r>
    </w:p>
    <w:p w14:paraId="46B4BD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完成《贡献分类与核验规则》。</w:t>
      </w:r>
    </w:p>
    <w:p w14:paraId="7C22253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完成《贡献值量化细则》配套文件。</w:t>
      </w:r>
    </w:p>
    <w:p w14:paraId="46344B4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8. 完成《贡献值继承规则》。</w:t>
      </w:r>
    </w:p>
    <w:p w14:paraId="274E83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9. 完成《三权分离运行规则》。</w:t>
      </w:r>
    </w:p>
    <w:p w14:paraId="0561A1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10. 完成《AGI辅助治理边界说明》。</w:t>
      </w:r>
    </w:p>
    <w:p w14:paraId="4703AE6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11. 完成《基础生存保障财政可持续测算框架》配套文件。</w:t>
      </w:r>
    </w:p>
    <w:p w14:paraId="107D5EF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12. 完成《公众承诺与参与者权利说明》。</w:t>
      </w:r>
    </w:p>
    <w:p w14:paraId="788B5AC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13. 完成一页版、十页版、完整版三套汇报文本。</w:t>
      </w:r>
    </w:p>
    <w:p w14:paraId="10A15BC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14. 所有文本均须通过“目标对齐检验”与“是否会被曲解为利益承诺”的双重审查。</w:t>
      </w:r>
    </w:p>
    <w:p w14:paraId="1F0FBE5B">
      <w:pPr>
        <w:rPr>
          <w:rFonts w:hint="eastAsia"/>
          <w:sz w:val="34"/>
          <w:szCs w:val="34"/>
        </w:rPr>
      </w:pPr>
    </w:p>
    <w:p w14:paraId="0099F3B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二、第一批研究工作</w:t>
      </w:r>
    </w:p>
    <w:p w14:paraId="58D04216">
      <w:pPr>
        <w:rPr>
          <w:rFonts w:hint="eastAsia"/>
          <w:sz w:val="34"/>
          <w:szCs w:val="34"/>
        </w:rPr>
      </w:pPr>
    </w:p>
    <w:p w14:paraId="5692EB8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梳理国家级新区、自贸区、数字治理先进城市、科创城、资源型转型城市的适配性。</w:t>
      </w:r>
    </w:p>
    <w:p w14:paraId="241A35E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研究国内外城市级制度试验、数字治理、公共服务、数据授权、城市AI治理相关案例。</w:t>
      </w:r>
    </w:p>
    <w:p w14:paraId="01A2B7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对资源池所有权公有化及过渡期安排、贡献值、三权分离、AGI辅助治理进行法律与政策边界初评。</w:t>
      </w:r>
    </w:p>
    <w:p w14:paraId="3ED3DE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建立三大元目标指标体系的可量化方案。</w:t>
      </w:r>
    </w:p>
    <w:p w14:paraId="4070593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建立实验区风险清单、熔断条件与前置预警模型框架。</w:t>
      </w:r>
    </w:p>
    <w:p w14:paraId="56BFC44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完成财政成本测算与人口虹吸风险量化评估。</w:t>
      </w:r>
    </w:p>
    <w:p w14:paraId="1D088CC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论证公共资源资产管理法人的法律形式与治理结构。</w:t>
      </w:r>
    </w:p>
    <w:p w14:paraId="687FEE3F">
      <w:pPr>
        <w:rPr>
          <w:rFonts w:hint="eastAsia"/>
          <w:sz w:val="34"/>
          <w:szCs w:val="34"/>
        </w:rPr>
      </w:pPr>
    </w:p>
    <w:p w14:paraId="2F2B492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三、第一批组织工作</w:t>
      </w:r>
    </w:p>
    <w:p w14:paraId="24AAA897">
      <w:pPr>
        <w:rPr>
          <w:rFonts w:hint="eastAsia"/>
          <w:sz w:val="34"/>
          <w:szCs w:val="34"/>
        </w:rPr>
      </w:pPr>
    </w:p>
    <w:p w14:paraId="71CF66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建立文明跃迁实验区筹备小组。</w:t>
      </w:r>
    </w:p>
    <w:p w14:paraId="6397E7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形成制度、技术、审计、人心意义四类专家池。</w:t>
      </w:r>
    </w:p>
    <w:p w14:paraId="655CCA3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形成潜在城市/地区对接清单。</w:t>
      </w:r>
    </w:p>
    <w:p w14:paraId="09D9810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形成对国家级智库、地方政府、研究机构、产业平台的分层说明材料。</w:t>
      </w:r>
    </w:p>
    <w:p w14:paraId="46D285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形成面向立法、财政、产业监管部门的专项汇报材料。</w:t>
      </w:r>
    </w:p>
    <w:p w14:paraId="3267F7F2">
      <w:pPr>
        <w:rPr>
          <w:rFonts w:hint="eastAsia"/>
          <w:sz w:val="34"/>
          <w:szCs w:val="34"/>
        </w:rPr>
      </w:pPr>
    </w:p>
    <w:p w14:paraId="3872964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四、第一批技术工作</w:t>
      </w:r>
    </w:p>
    <w:p w14:paraId="558F842B">
      <w:pPr>
        <w:rPr>
          <w:rFonts w:hint="eastAsia"/>
          <w:sz w:val="34"/>
          <w:szCs w:val="34"/>
        </w:rPr>
      </w:pPr>
    </w:p>
    <w:p w14:paraId="065CB67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设计资源池平台轻量化原型。</w:t>
      </w:r>
    </w:p>
    <w:p w14:paraId="16E611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设计贡献事实核验平台轻量化原型。</w:t>
      </w:r>
    </w:p>
    <w:p w14:paraId="1C32D1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设计AGI辅助治理边界原型。</w:t>
      </w:r>
    </w:p>
    <w:p w14:paraId="4B592A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设计审计与申诉系统原型。</w:t>
      </w:r>
    </w:p>
    <w:p w14:paraId="15604C2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设计公民参与和重大事项表决平台原型。</w:t>
      </w:r>
    </w:p>
    <w:p w14:paraId="3C2B5159">
      <w:pPr>
        <w:rPr>
          <w:rFonts w:hint="eastAsia"/>
          <w:sz w:val="34"/>
          <w:szCs w:val="34"/>
        </w:rPr>
      </w:pPr>
    </w:p>
    <w:p w14:paraId="2E8CCF3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五、第一批传播工作</w:t>
      </w:r>
    </w:p>
    <w:p w14:paraId="68AE56C5">
      <w:pPr>
        <w:rPr>
          <w:rFonts w:hint="eastAsia"/>
          <w:sz w:val="34"/>
          <w:szCs w:val="34"/>
        </w:rPr>
      </w:pPr>
    </w:p>
    <w:p w14:paraId="4A5462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形成公众版说明。</w:t>
      </w:r>
    </w:p>
    <w:p w14:paraId="2F80C89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形成政府版说明（含政策衔接论述）。</w:t>
      </w:r>
    </w:p>
    <w:p w14:paraId="226AA48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形成企业版说明。</w:t>
      </w:r>
    </w:p>
    <w:p w14:paraId="6930561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形成技术版说明。</w:t>
      </w:r>
    </w:p>
    <w:p w14:paraId="1789333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配套极简版规则手册（居民/企业/公职人员三版）。</w:t>
      </w:r>
    </w:p>
    <w:p w14:paraId="7F852C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所有传播材料必须通过双重审查：是否指向三目标？是否可能被曲解为利益承诺？</w:t>
      </w:r>
    </w:p>
    <w:p w14:paraId="50235FC4">
      <w:pPr>
        <w:rPr>
          <w:rFonts w:hint="eastAsia"/>
          <w:sz w:val="34"/>
          <w:szCs w:val="34"/>
        </w:rPr>
      </w:pPr>
    </w:p>
    <w:p w14:paraId="12121C2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02D7B9B8">
      <w:pPr>
        <w:rPr>
          <w:rFonts w:hint="eastAsia"/>
          <w:sz w:val="34"/>
          <w:szCs w:val="34"/>
        </w:rPr>
      </w:pPr>
    </w:p>
    <w:p w14:paraId="328C292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文明跃迁不是等待全世界同时觉醒，也不是等待完美方案从天而降。它需要一个足够完整、足够真实、足够勇敢的地方，先把未来的一部分运行出来。</w:t>
      </w:r>
    </w:p>
    <w:p w14:paraId="0673DFD1">
      <w:pPr>
        <w:rPr>
          <w:rFonts w:hint="eastAsia"/>
          <w:sz w:val="34"/>
          <w:szCs w:val="34"/>
        </w:rPr>
      </w:pPr>
    </w:p>
    <w:p w14:paraId="3E93915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一个社区只能证明善意存在。一个平台只能证明机制可用。一个企业只能证明激励有效。只有一个完整城市，才能证明文明跃迁是否真的能够运行。</w:t>
      </w:r>
    </w:p>
    <w:p w14:paraId="6EB96AA5">
      <w:pPr>
        <w:rPr>
          <w:rFonts w:hint="eastAsia"/>
          <w:sz w:val="34"/>
          <w:szCs w:val="34"/>
        </w:rPr>
      </w:pPr>
    </w:p>
    <w:p w14:paraId="46E28AF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个城市不需要宣布自己高于世界。它只需要真实地做到：让基础生存更安全，让沉睡资源流动起来，让贡献不再被遗忘，让AGI放大人的能力与善意，让权力被放进结构，让普通人不再相信自己不重要，让一个人的贡献可以跨越时间庇护所爱的人。</w:t>
      </w:r>
    </w:p>
    <w:p w14:paraId="6D99717D">
      <w:pPr>
        <w:rPr>
          <w:rFonts w:hint="eastAsia"/>
          <w:sz w:val="34"/>
          <w:szCs w:val="34"/>
        </w:rPr>
      </w:pPr>
    </w:p>
    <w:p w14:paraId="4D64E4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当人们在这个城市里，能够从容地生活，而不是焦虑地挣扎；当他们付出的善意能被看见和记住；当他们相信自己的孩子将生活在一个更好的世界；当他们知道自己的贡献不会随死亡而消散——那时，这个城市就不只是一个实验区，它就是文明高地的雏形。</w:t>
      </w:r>
    </w:p>
    <w:p w14:paraId="26A335D1">
      <w:pPr>
        <w:rPr>
          <w:rFonts w:hint="eastAsia"/>
          <w:sz w:val="34"/>
          <w:szCs w:val="34"/>
        </w:rPr>
      </w:pPr>
    </w:p>
    <w:p w14:paraId="42F0A5E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我们拒绝“为系统而系统”的熵增。我们一切的努力，过程的一切，都只为证明：一个让生存不再焦虑、让生活值得度过、让生命充满意义的未来，并非乌托邦，而是可以通过人类的理性、善意与合作，在一个城市里，先长出来。</w:t>
      </w:r>
    </w:p>
    <w:p w14:paraId="4FDCEE35">
      <w:pPr>
        <w:rPr>
          <w:rFonts w:hint="eastAsia"/>
          <w:sz w:val="34"/>
          <w:szCs w:val="34"/>
        </w:rPr>
      </w:pPr>
    </w:p>
    <w:p w14:paraId="2C4CED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而文明高地的力量，不在于命令世界跟随，而在于让世界看见：另一条路已经可以走。</w:t>
      </w:r>
    </w:p>
    <w:p w14:paraId="420BB9CF">
      <w:pPr>
        <w:rPr>
          <w:rFonts w:hint="eastAsia"/>
          <w:sz w:val="34"/>
          <w:szCs w:val="34"/>
        </w:rPr>
      </w:pPr>
    </w:p>
    <w:p w14:paraId="55CCDB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1525D1A9">
      <w:pPr>
        <w:rPr>
          <w:rFonts w:hint="eastAsia"/>
          <w:sz w:val="34"/>
          <w:szCs w:val="34"/>
        </w:rPr>
      </w:pPr>
    </w:p>
    <w:p w14:paraId="6F4269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《文明跃迁五卷书摘要版》</w:t>
      </w:r>
    </w:p>
    <w:p w14:paraId="58662A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《文明跃迁五卷书｜体系地图·深读版》</w:t>
      </w:r>
    </w:p>
    <w:p w14:paraId="7BF9895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《文明跃迁：AGI时代的资源池元规则》</w:t>
      </w:r>
    </w:p>
    <w:p w14:paraId="35139D1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《文明决策原则框架_三权分离宪制_V2.0》</w:t>
      </w:r>
    </w:p>
    <w:p w14:paraId="1CC7212E">
      <w:pPr>
        <w:rPr>
          <w:rFonts w:hint="eastAsia"/>
          <w:sz w:val="34"/>
          <w:szCs w:val="34"/>
        </w:rPr>
      </w:pPr>
    </w:p>
    <w:p w14:paraId="25BCA13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1C68FE8C">
      <w:pPr>
        <w:rPr>
          <w:rFonts w:hint="eastAsia"/>
          <w:sz w:val="34"/>
          <w:szCs w:val="34"/>
        </w:rPr>
      </w:pPr>
    </w:p>
    <w:p w14:paraId="5740AA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评估模块 分值 评估要点</w:t>
      </w:r>
    </w:p>
    <w:p w14:paraId="5087E0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国家授权可能性 15 政策创新、数据授权、资源所有权公有化授权及过渡期安排、公共服务改革和制度实验空间</w:t>
      </w:r>
    </w:p>
    <w:p w14:paraId="7C41F95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社会系统完整度 15 居民、产业、教育、医疗、能源、政务、社区是否齐备</w:t>
      </w:r>
    </w:p>
    <w:p w14:paraId="4F6FD03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数据基础 15 政务数据、公共服务数据、城市运行数据、产业数据是否可接入</w:t>
      </w:r>
    </w:p>
    <w:p w14:paraId="02D6199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资源池潜力 15 全域全量资源是否可纳入登记，公有、国有、企业、个人资产覆盖范围</w:t>
      </w:r>
    </w:p>
    <w:p w14:paraId="16BEB6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AGI应用基础 10 是否具备部署AGI辅助治理、资源匹配、风险预警的条件</w:t>
      </w:r>
    </w:p>
    <w:p w14:paraId="7F31BAC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公共服务能力 10 基础医疗、教育、交通、能源、信息服务是否稳定</w:t>
      </w:r>
    </w:p>
    <w:p w14:paraId="7DB0BA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产业多样性 10 是否具备多元产业结构</w:t>
      </w:r>
    </w:p>
    <w:p w14:paraId="72DE817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公众接受度 5 居民与机构参与、理解、反馈基础</w:t>
      </w:r>
    </w:p>
    <w:p w14:paraId="5CB53B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风险可控性 5 实验失败、数据风险、舆论误读、制度外溢是否可控</w:t>
      </w:r>
    </w:p>
    <w:p w14:paraId="1C9B3A70">
      <w:pPr>
        <w:rPr>
          <w:rFonts w:hint="eastAsia"/>
          <w:sz w:val="34"/>
          <w:szCs w:val="34"/>
        </w:rPr>
      </w:pPr>
    </w:p>
    <w:p w14:paraId="34BF99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06FEC732">
      <w:pPr>
        <w:rPr>
          <w:rFonts w:hint="eastAsia"/>
          <w:sz w:val="34"/>
          <w:szCs w:val="34"/>
        </w:rPr>
      </w:pPr>
    </w:p>
    <w:p w14:paraId="3273CC1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资源类型 提供者 进入前所有权 池类归属 可开放方式 过渡期安排 预期公共价值</w:t>
      </w:r>
    </w:p>
    <w:p w14:paraId="2BAFA76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公共场馆/空间   公共池/私用池 时段使用权 在用不中断 </w:t>
      </w:r>
    </w:p>
    <w:p w14:paraId="2B9C61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保障性住房   公共池 居住使用权 优先公有化 </w:t>
      </w:r>
    </w:p>
    <w:p w14:paraId="0BAC4F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在用住房   公共池 居住使用权 过渡期内不变 </w:t>
      </w:r>
    </w:p>
    <w:p w14:paraId="09C182B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设备/算力   私用池/公共池 额度权/项目使用权 非在用优先公有化 </w:t>
      </w:r>
    </w:p>
    <w:p w14:paraId="39ECC41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数据资源   公共池/私用池 脱敏数据/接口 按数据类型分级 </w:t>
      </w:r>
    </w:p>
    <w:p w14:paraId="53E044D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教育与知识资源   公共池/私用池 课程开放/专家时间 自愿优先 </w:t>
      </w:r>
    </w:p>
    <w:p w14:paraId="01B003C2">
      <w:pPr>
        <w:rPr>
          <w:rFonts w:hint="eastAsia"/>
          <w:sz w:val="34"/>
          <w:szCs w:val="34"/>
        </w:rPr>
      </w:pPr>
    </w:p>
    <w:p w14:paraId="1C0972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06632BC2">
      <w:pPr>
        <w:rPr>
          <w:rFonts w:hint="eastAsia"/>
          <w:sz w:val="34"/>
          <w:szCs w:val="34"/>
        </w:rPr>
      </w:pPr>
    </w:p>
    <w:p w14:paraId="40F71BB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A. 资产类贡献</w:t>
      </w:r>
    </w:p>
    <w:p w14:paraId="0D53CA9A">
      <w:pPr>
        <w:rPr>
          <w:rFonts w:hint="eastAsia"/>
          <w:sz w:val="34"/>
          <w:szCs w:val="34"/>
        </w:rPr>
      </w:pPr>
    </w:p>
    <w:p w14:paraId="74541C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贡献类型 证明材料 受益对象 池类 审核方式 可转化权利 主要风险</w:t>
      </w:r>
    </w:p>
    <w:p w14:paraId="60DA6F7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法币贡献 拨付记录、用途审计 公共池/私用池项目 公共池/私用池 财务审计+结果核验 资源使用权 洗贡献</w:t>
      </w:r>
    </w:p>
    <w:p w14:paraId="2C0A659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房屋/土地贡献 权属证明、使用记录、受益方反馈 居民/公共项目 公共池/私用池 使用核验+受益确认 资源使用权 空置伪装</w:t>
      </w:r>
    </w:p>
    <w:p w14:paraId="1FE667F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设备/算力贡献 开放记录、调用日志、使用反馈 项目/居民/机构 公共池/私用池 使用数据+受益反馈 资源使用权 刷调用</w:t>
      </w:r>
    </w:p>
    <w:p w14:paraId="3176A6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数据/知识产权贡献 开源记录、调用频次、衍生应用 公众/项目/机构 公共池/私用池 专家复核+使用数据 领域决策权 虚假开源</w:t>
      </w:r>
    </w:p>
    <w:p w14:paraId="58188183">
      <w:pPr>
        <w:rPr>
          <w:rFonts w:hint="eastAsia"/>
          <w:sz w:val="34"/>
          <w:szCs w:val="34"/>
        </w:rPr>
      </w:pPr>
    </w:p>
    <w:p w14:paraId="1C4D3E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B. 行为类贡献</w:t>
      </w:r>
    </w:p>
    <w:p w14:paraId="2C155328">
      <w:pPr>
        <w:rPr>
          <w:rFonts w:hint="eastAsia"/>
          <w:sz w:val="34"/>
          <w:szCs w:val="34"/>
        </w:rPr>
      </w:pPr>
    </w:p>
    <w:p w14:paraId="7FB843C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贡献类型 证明材料 受益对象 审核方式 可转化权利 主要风险</w:t>
      </w:r>
    </w:p>
    <w:p w14:paraId="6550A8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劳动/服务贡献 服务记录、受益方确认 社区/居民/项目 多方确认 资源使用权 刷时长</w:t>
      </w:r>
    </w:p>
    <w:p w14:paraId="6DE1EF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照护/陪伴贡献 组织记录、受助方反馈 老人/儿童/弱势群体 隐私保护下确认 资源使用权 隐私泄露</w:t>
      </w:r>
    </w:p>
    <w:p w14:paraId="281E474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知识/技术贡献 代码、文档、课程、应用反馈 项目/公众/机构 专家复核+使用数据 领域决策权 刷论文</w:t>
      </w:r>
    </w:p>
    <w:p w14:paraId="4B4DB75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风险承担贡献 项目记录、风险结果、长期复盘 公共项目/创新项目 后向追溯 领域决策权 提前套利</w:t>
      </w:r>
    </w:p>
    <w:p w14:paraId="6C1D7F5C">
      <w:pPr>
        <w:rPr>
          <w:rFonts w:hint="eastAsia"/>
          <w:sz w:val="34"/>
          <w:szCs w:val="34"/>
        </w:rPr>
      </w:pPr>
    </w:p>
    <w:p w14:paraId="01F2CF4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4B86E07E">
      <w:pPr>
        <w:rPr>
          <w:rFonts w:hint="eastAsia"/>
          <w:sz w:val="34"/>
          <w:szCs w:val="34"/>
        </w:rPr>
      </w:pPr>
    </w:p>
    <w:p w14:paraId="1C4381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进入资源池即视为自愿将资源所有权让渡给实验区全体居民共有。所有权公有化不可撤回。过渡期内，在用资源维持当前使用状态不中断。</w:t>
      </w:r>
    </w:p>
    <w:p w14:paraId="3DCC1514">
      <w:pPr>
        <w:rPr>
          <w:rFonts w:hint="eastAsia"/>
          <w:sz w:val="34"/>
          <w:szCs w:val="34"/>
        </w:rPr>
      </w:pPr>
    </w:p>
    <w:p w14:paraId="7793B4E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不以贡献值评价人的生命价值。</w:t>
      </w:r>
    </w:p>
    <w:p w14:paraId="0DBC23BC">
      <w:pPr>
        <w:rPr>
          <w:rFonts w:hint="eastAsia"/>
          <w:sz w:val="34"/>
          <w:szCs w:val="34"/>
        </w:rPr>
      </w:pPr>
    </w:p>
    <w:p w14:paraId="274EE8A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不让贡献值购买一切。</w:t>
      </w:r>
    </w:p>
    <w:p w14:paraId="08C1EBDD">
      <w:pPr>
        <w:rPr>
          <w:rFonts w:hint="eastAsia"/>
          <w:sz w:val="34"/>
          <w:szCs w:val="34"/>
        </w:rPr>
      </w:pPr>
    </w:p>
    <w:p w14:paraId="32F0A69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不让AGI替人决定文明方向。</w:t>
      </w:r>
    </w:p>
    <w:p w14:paraId="3E9AE769">
      <w:pPr>
        <w:rPr>
          <w:rFonts w:hint="eastAsia"/>
          <w:sz w:val="34"/>
          <w:szCs w:val="34"/>
        </w:rPr>
      </w:pPr>
    </w:p>
    <w:p w14:paraId="641B544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不让任何人因贡献低而失去基本生存保障。</w:t>
      </w:r>
    </w:p>
    <w:p w14:paraId="78092157">
      <w:pPr>
        <w:rPr>
          <w:rFonts w:hint="eastAsia"/>
          <w:sz w:val="34"/>
          <w:szCs w:val="34"/>
        </w:rPr>
      </w:pPr>
    </w:p>
    <w:p w14:paraId="595A3F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不将贡献数据用于人格歧视、商业排斥或惩罚性治理。</w:t>
      </w:r>
    </w:p>
    <w:p w14:paraId="300C9B04">
      <w:pPr>
        <w:rPr>
          <w:rFonts w:hint="eastAsia"/>
          <w:sz w:val="34"/>
          <w:szCs w:val="34"/>
        </w:rPr>
      </w:pPr>
    </w:p>
    <w:p w14:paraId="3CCA1E9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贡献值可以继承，按代际衰减。决策权在任何情况下不可继承。</w:t>
      </w:r>
    </w:p>
    <w:p w14:paraId="02FAB961">
      <w:pPr>
        <w:rPr>
          <w:rFonts w:hint="eastAsia"/>
          <w:sz w:val="34"/>
          <w:szCs w:val="34"/>
        </w:rPr>
      </w:pPr>
    </w:p>
    <w:p w14:paraId="5D3839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动机无须考虑。系统只问结果，不问动机。</w:t>
      </w:r>
    </w:p>
    <w:p w14:paraId="44A97220">
      <w:pPr>
        <w:rPr>
          <w:rFonts w:hint="eastAsia"/>
          <w:sz w:val="34"/>
          <w:szCs w:val="34"/>
        </w:rPr>
      </w:pPr>
    </w:p>
    <w:p w14:paraId="509E91F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对三目标有实质贡献即获贡献值，不分形式与来源。</w:t>
      </w:r>
    </w:p>
    <w:p w14:paraId="45C6D66F">
      <w:pPr>
        <w:rPr>
          <w:rFonts w:hint="eastAsia"/>
          <w:sz w:val="34"/>
          <w:szCs w:val="34"/>
        </w:rPr>
      </w:pPr>
    </w:p>
    <w:p w14:paraId="53C444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所有重大规则可审计、可申诉、可纠错、可暂停。</w:t>
      </w:r>
    </w:p>
    <w:p w14:paraId="4A935B50">
      <w:pPr>
        <w:rPr>
          <w:rFonts w:hint="eastAsia"/>
          <w:sz w:val="34"/>
          <w:szCs w:val="34"/>
        </w:rPr>
      </w:pPr>
    </w:p>
    <w:p w14:paraId="30A582A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涉及不可逆方向和全体根本权益的重大事项，必须回到一人一票。</w:t>
      </w:r>
    </w:p>
    <w:p w14:paraId="40A5282E">
      <w:pPr>
        <w:rPr>
          <w:rFonts w:hint="eastAsia"/>
          <w:sz w:val="34"/>
          <w:szCs w:val="34"/>
        </w:rPr>
      </w:pPr>
    </w:p>
    <w:p w14:paraId="65AFA6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常规事项走快速通道，不因过度制衡而拖慢民生服务效率。</w:t>
      </w:r>
    </w:p>
    <w:p w14:paraId="7AB5AEDE">
      <w:pPr>
        <w:rPr>
          <w:rFonts w:hint="eastAsia"/>
          <w:sz w:val="34"/>
          <w:szCs w:val="34"/>
        </w:rPr>
      </w:pPr>
    </w:p>
    <w:p w14:paraId="448ED7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一切制度、技术、指标的设计与运行，均须以“生存无忧、生活幸福、生命更有意义”为元目标。偏离此目标的设计，应被识别为系统熵增，予以剔除或简化。</w:t>
      </w:r>
    </w:p>
    <w:p w14:paraId="54043A99">
      <w:pPr>
        <w:rPr>
          <w:rFonts w:hint="eastAsia"/>
          <w:sz w:val="34"/>
          <w:szCs w:val="34"/>
        </w:rPr>
      </w:pPr>
    </w:p>
    <w:p w14:paraId="5635F0A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这份公众承诺不是修辞，而是实验区获得信任的第一制度。没有安全感，就没有参与；没有参与，就没有文明跃迁。</w:t>
      </w:r>
    </w:p>
    <w:p w14:paraId="562A5B12">
      <w:pPr>
        <w:rPr>
          <w:rFonts w:hint="eastAsia"/>
          <w:sz w:val="34"/>
          <w:szCs w:val="34"/>
        </w:rPr>
      </w:pPr>
    </w:p>
    <w:p w14:paraId="44FFF1FB">
      <w:pPr>
        <w:rPr>
          <w:sz w:val="34"/>
          <w:szCs w:val="34"/>
        </w:rPr>
      </w:pPr>
      <w:r>
        <w:rPr>
          <w:rFonts w:hint="eastAsia"/>
          <w:sz w:val="34"/>
          <w:szCs w:val="34"/>
        </w:rPr>
        <w:t>—— AGI时代文明跃迁国家级综合实验区建议书 · v0.5 修订版 · 全文完 ——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2026-07-08T16:05:31Z</dcterms:created>
  <dc:creator>iPhone</dc:creator>
  <cp:lastModifiedBy>iPhone</cp:lastModifiedBy>
  <dcterms:modified xsi:type="dcterms:W3CDTF">2026-07-08T16:06:18Z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2052-26.6.2</vt:lpwstr>
  </property>
  <property fmtid="{D5CDD505-2E9C-101B-9397-08002B2CF9AE}" pid="3" name="ICV">
    <vt:lpwstr>8B8B29D390FC6314CB044E6AFF5EF62D_31</vt:lpwstr>
  </property>
</Properties>
</file>