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0"/>
        <w:jc w:val="center"/>
      </w:pPr>
      <w:r>
        <w:rPr>
          <w:rFonts w:ascii="Noto Serif CJK SC" w:hAnsi="Noto Serif CJK SC" w:eastAsia="Noto Serif CJK SC"/>
          <w:b/>
          <w:color w:val="172D3C"/>
          <w:sz w:val="46"/>
        </w:rPr>
        <w:t>AGI时代文明跃迁</w:t>
      </w:r>
    </w:p>
    <w:p>
      <w:pPr>
        <w:jc w:val="center"/>
      </w:pPr>
      <w:r>
        <w:rPr>
          <w:rFonts w:ascii="Noto Serif CJK SC" w:hAnsi="Noto Serif CJK SC" w:eastAsia="Noto Serif CJK SC"/>
          <w:b/>
          <w:color w:val="172D3C"/>
          <w:sz w:val="56"/>
        </w:rPr>
        <w:t>国家级综合实验区建议书</w:t>
      </w:r>
    </w:p>
    <w:p>
      <w:pPr>
        <w:spacing w:before="200"/>
        <w:jc w:val="center"/>
      </w:pPr>
      <w:r>
        <w:rPr>
          <w:rFonts w:ascii="Noto Serif CJK SC" w:hAnsi="Noto Serif CJK SC" w:eastAsia="Noto Serif CJK SC"/>
          <w:b w:val="0"/>
          <w:color w:val="3E4C54"/>
          <w:sz w:val="28"/>
        </w:rPr>
        <w:t>——国家级、城市级、缩域不降维的文明高地实验完整建议</w:t>
      </w:r>
    </w:p>
    <w:p>
      <w:pPr>
        <w:spacing w:before="520"/>
        <w:jc w:val="center"/>
      </w:pPr>
      <w:r>
        <w:rPr>
          <w:rFonts w:ascii="Noto Serif CJK SC" w:hAnsi="Noto Serif CJK SC" w:eastAsia="Noto Serif CJK SC"/>
          <w:b/>
          <w:color w:val="8A4D19"/>
          <w:sz w:val="28"/>
        </w:rPr>
        <w:t>v0.8  决策完整与建议阶段归位版</w:t>
      </w:r>
    </w:p>
    <w:p>
      <w:pPr>
        <w:spacing w:before="1400"/>
        <w:jc w:val="center"/>
      </w:pPr>
      <w:r>
        <w:rPr>
          <w:rFonts w:ascii="Noto Serif CJK SC" w:hAnsi="Noto Serif CJK SC" w:eastAsia="Noto Serif CJK SC"/>
          <w:b w:val="0"/>
          <w:sz w:val="22"/>
        </w:rPr>
        <w:t>作者：子君赋</w:t>
      </w:r>
    </w:p>
    <w:p>
      <w:pPr>
        <w:jc w:val="center"/>
      </w:pPr>
      <w:r>
        <w:rPr>
          <w:rFonts w:ascii="Noto Serif CJK SC" w:hAnsi="Noto Serif CJK SC" w:eastAsia="Noto Serif CJK SC"/>
          <w:b w:val="0"/>
          <w:sz w:val="22"/>
        </w:rPr>
        <w:t>出品：文明跃迁研究组</w:t>
      </w:r>
    </w:p>
    <w:p>
      <w:pPr>
        <w:jc w:val="center"/>
      </w:pPr>
      <w:r>
        <w:rPr>
          <w:rFonts w:ascii="Noto Serif CJK SC" w:hAnsi="Noto Serif CJK SC" w:eastAsia="Noto Serif CJK SC"/>
          <w:b w:val="0"/>
          <w:sz w:val="22"/>
        </w:rPr>
        <w:t>2026年7月</w:t>
      </w:r>
    </w:p>
    <w:p>
      <w:pPr>
        <w:spacing w:before="1100"/>
        <w:jc w:val="center"/>
      </w:pPr>
      <w:r>
        <w:rPr>
          <w:rFonts w:ascii="Noto Serif CJK SC" w:hAnsi="Noto Serif CJK SC" w:eastAsia="Noto Serif CJK SC"/>
          <w:b/>
          <w:color w:val="1F3645"/>
          <w:sz w:val="21"/>
        </w:rPr>
        <w:t>核心定位：国家授权｜城市级承载｜缩域不降维｜完整系统验证｜文明高地成型</w:t>
      </w:r>
    </w:p>
    <w:p>
      <w:pPr>
        <w:jc w:val="center"/>
      </w:pPr>
      <w:r>
        <w:rPr>
          <w:rFonts w:ascii="Noto Serif CJK SC" w:hAnsi="Noto Serif CJK SC" w:eastAsia="Noto Serif CJK SC"/>
          <w:b/>
          <w:color w:val="8A4D19"/>
          <w:sz w:val="23"/>
        </w:rPr>
        <w:t>元目标：生存无忧｜生活幸福｜生命更有意义</w:t>
      </w:r>
    </w:p>
    <w:p>
      <w:r>
        <w:br w:type="page"/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版本说明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本稿为“理论进入国家级研究、论证与实验准备”阶段的完整建议书v0.8，定位为决策完整与建议阶段归位版。它不是已获授权后的实施方案，也不要求国家一次性批准一个已经定型的新社会系统。它首先请求确认：AGI时代是否需要对文明运行底层逻辑开展国家级、城市级、缩域不降维的完整研究与验证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与v0.7相比，本版不削弱文明跃迁的目标、判断和制度锋芒，而是重新校准主文与附件的关系：关键决策者即使只阅读主文，也能够看清为什么必须研究、拟验证什么、为何必须城市级、哪些权利边界不可突破、不同群体为什么可能进入、失败如何停止，以及现阶段究竟请求作出什么决定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本版将相位设计纪律、七类群体动力源、人员与个体资源池、向善智能的国家能力路径、文明高地国际可信度、政治启动与制度承载链等关键内容归入主文。专业协议、数据字段、详细模型、访问控制、回滚手册和对象化接入策略，继续作为内部研究储备，不构成理解本建议书的前提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F3F6F8"/>
            <w:tcMar>
              <w:top w:w="130" w:type="dxa"/>
              <w:start w:w="220" w:type="dxa"/>
              <w:bottom w:w="130" w:type="dxa"/>
              <w:end w:w="220" w:type="dxa"/>
            </w:tcMar>
          </w:tcPr>
          <w:p>
            <w:pPr>
              <w:spacing w:line="324" w:lineRule="auto"/>
              <w:jc w:val="left"/>
            </w:pPr>
            <w:r>
              <w:rPr>
                <w:rFonts w:ascii="Noto Serif CJK SC" w:hAnsi="Noto Serif CJK SC" w:eastAsia="Noto Serif CJK SC"/>
                <w:b/>
                <w:color w:val="283E4C"/>
                <w:sz w:val="22"/>
              </w:rPr>
              <w:t>版本原则：主文必须具备决策完整性；附件只在正式立项后承担专业验证与执行展开。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本建议书当前请求的不是立即实施，而是四级递进决策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1. </w:t>
      </w:r>
      <w:r>
        <w:rPr>
          <w:rFonts w:ascii="Noto Serif CJK SC" w:hAnsi="Noto Serif CJK SC" w:eastAsia="Noto Serif CJK SC"/>
          <w:b w:val="0"/>
          <w:sz w:val="22"/>
        </w:rPr>
        <w:t>同意将“AGI时代文明跃迁国家级综合实验”列为国家级前瞻性研究议题，进入正式论证程序。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2. </w:t>
      </w:r>
      <w:r>
        <w:rPr>
          <w:rFonts w:ascii="Noto Serif CJK SC" w:hAnsi="Noto Serif CJK SC" w:eastAsia="Noto Serif CJK SC"/>
          <w:b w:val="0"/>
          <w:sz w:val="22"/>
        </w:rPr>
        <w:t>同意建立国家级文明跃迁研究中心、研究院或跨部门联合课题机制，开展法律、财政、技术、社会、人心与意义等专项研究。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3. </w:t>
      </w:r>
      <w:r>
        <w:rPr>
          <w:rFonts w:ascii="Noto Serif CJK SC" w:hAnsi="Noto Serif CJK SC" w:eastAsia="Noto Serif CJK SC"/>
          <w:b w:val="0"/>
          <w:sz w:val="22"/>
        </w:rPr>
        <w:t>同意对若干候选城市开展基线调查、资源与制度条件评估、公众沟通和方案预研，不立即改变现行基本制度。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4. </w:t>
      </w:r>
      <w:r>
        <w:rPr>
          <w:rFonts w:ascii="Noto Serif CJK SC" w:hAnsi="Noto Serif CJK SC" w:eastAsia="Noto Serif CJK SC"/>
          <w:b w:val="0"/>
          <w:sz w:val="22"/>
        </w:rPr>
        <w:t>在前述研究、审查和最小闭环验证通过后，再决定是否授权城市级综合实验。</w:t>
      </w:r>
    </w:p>
    <w:p>
      <w:r>
        <w:br w:type="page"/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决策摘要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一、核心判断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AGI正在同时改变生产能力、国家能力和人类价值确认方式。它能够极大提高社会运行效率，也可能把占有、垄断、排他、控制和国家对抗放大到文明难以承受的程度。仅靠增长、福利、产业升级、就业培训、企业公益或局部技术治理，无法回答“当大量功能价值被智能替代，人类如何继续获得安全、幸福与意义”这一根本问题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文明跃迁国家级综合实验区的目标，不是设计一个更复杂的城市，而是用真实社会运行验证：能否在AGI时代，让一个城市的居民生存更加无忧、生活更加幸福、生命更有意义；能否使资源从沉睡占有进入真实使用，使利他行为与结果成为增量性利己回报的主要通道，使权力被结构性分离，使AGI成为人的能力放大器，而不是文明方向决定者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二、为什么必须国家级、城市级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国家级，是因为实验涉及公共服务、资源使用、数据治理、AGI应用、贡献确认、治理权力、财政承载和公众权利，任何单一企业、社区或公益组织都不具备完整授权与责任能力。城市级，是因为要验证的不是一个算法、一个积分机制或一项公共服务，而是资源、权力、技术、人心与意义在完整社会中的真实耦合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F3F6F8"/>
            <w:tcMar>
              <w:top w:w="130" w:type="dxa"/>
              <w:start w:w="220" w:type="dxa"/>
              <w:bottom w:w="130" w:type="dxa"/>
              <w:end w:w="220" w:type="dxa"/>
            </w:tcMar>
          </w:tcPr>
          <w:p>
            <w:pPr>
              <w:spacing w:line="324" w:lineRule="auto"/>
              <w:jc w:val="left"/>
            </w:pPr>
            <w:r>
              <w:rPr>
                <w:rFonts w:ascii="Noto Serif CJK SC" w:hAnsi="Noto Serif CJK SC" w:eastAsia="Noto Serif CJK SC"/>
                <w:b/>
                <w:color w:val="283E4C"/>
                <w:sz w:val="22"/>
              </w:rPr>
              <w:t>缩域，是为了控制风险；不降维，是为了保留社会真实复杂度。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三、实验区不是做什么</w:t>
      </w:r>
    </w:p>
    <w:p>
      <w:pPr>
        <w:pStyle w:val="ListBullet"/>
        <w:spacing w:after="60" w:line="312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不是立即取消或重构合法产权。启动期以自愿授权、时段使用、调用接口和可撤回开放为主。</w:t>
      </w:r>
    </w:p>
    <w:p>
      <w:pPr>
        <w:pStyle w:val="ListBullet"/>
        <w:spacing w:after="60" w:line="312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不是把人变成分数。贡献值只确认特定领域的公共价值事实，不评价人格，不决定基本生存权，不兑换文明表决权。</w:t>
      </w:r>
    </w:p>
    <w:p>
      <w:pPr>
        <w:pStyle w:val="ListBullet"/>
        <w:spacing w:after="60" w:line="312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不是让AI替人治理。AGI只能感知、匹配、推演、解释和辅助，不得单独决定人的资格、权利和文明方向。</w:t>
      </w:r>
    </w:p>
    <w:p>
      <w:pPr>
        <w:pStyle w:val="ListBullet"/>
        <w:spacing w:after="60" w:line="312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不是要求某个群体先受损。任何需要先击败、剥夺或压服某个群体才能推进的方案，都在复制旧逻辑。</w:t>
      </w:r>
    </w:p>
    <w:p>
      <w:pPr>
        <w:pStyle w:val="ListBullet"/>
        <w:spacing w:after="60" w:line="312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不是把稳定期图景当作启动期命令。相位由因果结果触发，不由日历或行政意志自动推进。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四、实验区拟验证的六大系统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rPr>
          <w:tblHeader w:val="true"/>
        </w:trPr>
        <w:tc>
          <w:tcPr>
            <w:tcW w:type="dxa" w:w="1814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系统</w:t>
            </w:r>
          </w:p>
        </w:tc>
        <w:tc>
          <w:tcPr>
            <w:tcW w:type="dxa" w:w="5159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核心问题</w:t>
            </w:r>
          </w:p>
        </w:tc>
        <w:tc>
          <w:tcPr>
            <w:tcW w:type="dxa" w:w="1814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最终指向</w:t>
            </w:r>
          </w:p>
        </w:tc>
      </w:tr>
      <w:tr>
        <w:tc>
          <w:tcPr>
            <w:tcW w:type="dxa" w:w="181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基础生存保障</w:t>
            </w:r>
          </w:p>
        </w:tc>
        <w:tc>
          <w:tcPr>
            <w:tcW w:type="dxa" w:w="5159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基础生存能否从羞辱性、排斥性救助转为文明红利的底线配置</w:t>
            </w:r>
          </w:p>
        </w:tc>
        <w:tc>
          <w:tcPr>
            <w:tcW w:type="dxa" w:w="181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生存无忧</w:t>
            </w:r>
          </w:p>
        </w:tc>
      </w:tr>
      <w:tr>
        <w:tc>
          <w:tcPr>
            <w:tcW w:type="dxa" w:w="181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城市资源池</w:t>
            </w:r>
          </w:p>
        </w:tc>
        <w:tc>
          <w:tcPr>
            <w:tcW w:type="dxa" w:w="5159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资源能否在不先改变所有权的前提下，从长期闲置进入真实使用</w:t>
            </w:r>
          </w:p>
        </w:tc>
        <w:tc>
          <w:tcPr>
            <w:tcW w:type="dxa" w:w="181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生存无忧、生活幸福</w:t>
            </w:r>
          </w:p>
        </w:tc>
      </w:tr>
      <w:tr>
        <w:tc>
          <w:tcPr>
            <w:tcW w:type="dxa" w:w="181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贡献值与治理信用</w:t>
            </w:r>
          </w:p>
        </w:tc>
        <w:tc>
          <w:tcPr>
            <w:tcW w:type="dxa" w:w="5159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真实贡献能否被看见，并与增量资源机会形成可信连接</w:t>
            </w:r>
          </w:p>
        </w:tc>
        <w:tc>
          <w:tcPr>
            <w:tcW w:type="dxa" w:w="181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三大元目标</w:t>
            </w:r>
          </w:p>
        </w:tc>
      </w:tr>
      <w:tr>
        <w:tc>
          <w:tcPr>
            <w:tcW w:type="dxa" w:w="181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三权分离治理</w:t>
            </w:r>
          </w:p>
        </w:tc>
        <w:tc>
          <w:tcPr>
            <w:tcW w:type="dxa" w:w="5159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贡献、专业与公众根本权利能否各归其位，避免新权力垄断</w:t>
            </w:r>
          </w:p>
        </w:tc>
        <w:tc>
          <w:tcPr>
            <w:tcW w:type="dxa" w:w="181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治理不异化</w:t>
            </w:r>
          </w:p>
        </w:tc>
      </w:tr>
      <w:tr>
        <w:tc>
          <w:tcPr>
            <w:tcW w:type="dxa" w:w="181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向善智能</w:t>
            </w:r>
          </w:p>
        </w:tc>
        <w:tc>
          <w:tcPr>
            <w:tcW w:type="dxa" w:w="5159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AI能否增强国家、城市和个人能力，同时守住人类终审与数据主权</w:t>
            </w:r>
          </w:p>
        </w:tc>
        <w:tc>
          <w:tcPr>
            <w:tcW w:type="dxa" w:w="181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安全、发展、持续</w:t>
            </w:r>
          </w:p>
        </w:tc>
      </w:tr>
      <w:tr>
        <w:tc>
          <w:tcPr>
            <w:tcW w:type="dxa" w:w="181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意义涌现与人心</w:t>
            </w:r>
          </w:p>
        </w:tc>
        <w:tc>
          <w:tcPr>
            <w:tcW w:type="dxa" w:w="5159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技术进步之后，人是否更少孤独、更有价值感、更能彼此抵达</w:t>
            </w:r>
          </w:p>
        </w:tc>
        <w:tc>
          <w:tcPr>
            <w:tcW w:type="dxa" w:w="181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生命更有意义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五、当前最需要的国家决定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当前不是批准某套细则，更不是批准全域制度替换。当前最需要的决定，是是否允许这项命题进入国家级研究与论证：由国家组织真正的法律、财政、技术、社会、伦理与治理能力，对其进行系统推演、基线调查、对抗性评审和有限验证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目录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摘要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第一章 时代判断：为什么必须进入国家级研究与实验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第二章 建议阶段归位：现阶段究竟请求国家决定什么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第三章 总定位：不是小试点，而是小文明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第四章 三大元目标与核心验证命题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第五章 相位纪律：因果渐进、全员无损、禁止对立死结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第六章 七类群体为什么可能进入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第七章 实验区承载条件与选址标准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第八章 总体架构：六大系统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第九章 核心制度机制与边界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第十章 向善智能：支持国家安全、发展与持续的另一条能力路径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第十一章 人员与个体资源池的全域可达、可用与自主流动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第十二章 权利、防火墙与公众承诺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第十三章 技术、数据、指标与证据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第十四章 政治启动、制度承载与风险分担链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第十五章 文明高地的国内真实性与国际可信度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第十六章 阶段路线图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第十七章 风险、误读、停止与回滚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第十八章 组织架构与近期工作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结语：让一个城市先长出未来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附录一 建议阶段精选基础文件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附录二 实验区选址评估表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附录三 相位与决策门简表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附录四 六大系统核心验证表</w:t>
      </w:r>
    </w:p>
    <w:p>
      <w:pPr>
        <w:pStyle w:val="BodyText"/>
        <w:spacing w:before="0" w:after="40" w:line="348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附录五 公众承诺与禁区清单</w:t>
      </w:r>
    </w:p>
    <w:p>
      <w:r>
        <w:br w:type="page"/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摘要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本建议书提出设立“AGI时代文明跃迁国家级综合实验区”。其根本目的不是建设一个更复杂的城市系统，而是验证一个根本命题：在AGI时代，能否让一个城市或地区的居民，生存更加无忧、生活更加幸福、生命更有意义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AGI带来的不是单一产业升级，而是生产、治理、国家竞争和人类价值确认方式的同步变化。旧文明长期依赖“有用性”确认人的位置，依赖占有、竞争、排他和垄断组织资源。当智能系统能够替代越来越多功能性劳动，并将旧博弈逻辑大规模放大，社会可能同时面临就业与分配冲击、意义塌缩、资源和技术集中、国家安全困境以及AI自身被军事化和控制逻辑绑架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现有增长、福利、ESG、公益、数字治理和局部试点都有价值，却无法单独验证文明运行底层逻辑是否能够改变。社会底层逻辑的变革，必须由真实的人群、真实需求、真实资源、真实冲突和真实时间来检验。因此，实验必须国家授权、城市级承载、缩域不降维、完整系统验证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本建议书以三大元目标为全部制度与技术的共同尺度：生存无忧、生活幸福、生命更有意义。资源池、贡献值、三权分离、向善智能、人员与个体资源池、意义涌现系统，都是实现和验证三大元目标的工具，不是新的目的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本版特别明确建议阶段与执行阶段的边界。启动期只采用自愿、可感收益、可退出、全员无损的邀请性规则；稳定期可能出现的全域资源协调、产权形态或全域贡献运行，不得作为启动期义务。任何需要某个群体先被击败、剥夺或压服的路径，均视为制度设计失败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本建议书现阶段请求国家作出的决定，是允许这一命题进入国家级研究、论证和实验准备程序；不是立即实施所有制度构想。先建立国家级研究与承载机制，开展候选城市基线调查、法律与财政研究、技术与数据验证、公众沟通、独立评审和最小闭环试验，再决定是否进入城市级综合实验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第一章 时代判断：为什么必须进入国家级研究与实验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一、现有主流路径的价值与局限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面对AGI冲击，主流路径包括继续做大经济总量、扩大社会保障、推动就业转型、加强技术监管、发展企业公益与ESG、建设数字政府和智慧城市。这些路径都有必要，却没有触及同一个底层问题：当智能系统大规模承担生产、认知和组织功能之后，人类社会继续以什么确认人的价值，以什么组织资源，以什么限制新权力，以什么维持国家和社会的长期稳定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“做大蛋糕”无法自动防止技术红利集中，也不能自动修复被需要感消失；传统福利能够缓冲贫困，却可能继续把人分成提供者与被救助者，无法重建贡献与尊严；企业公益和局部积分能够证明机制可用，却没有能力改变资源、权力和公共服务的整体关系；技术监管能够限制部分风险，却不能单独回答AI应当为哪一种文明目标服务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F3F6F8"/>
            <w:tcMar>
              <w:top w:w="130" w:type="dxa"/>
              <w:start w:w="220" w:type="dxa"/>
              <w:bottom w:w="130" w:type="dxa"/>
              <w:end w:w="220" w:type="dxa"/>
            </w:tcMar>
          </w:tcPr>
          <w:p>
            <w:pPr>
              <w:spacing w:line="324" w:lineRule="auto"/>
              <w:jc w:val="left"/>
            </w:pPr>
            <w:r>
              <w:rPr>
                <w:rFonts w:ascii="Noto Serif CJK SC" w:hAnsi="Noto Serif CJK SC" w:eastAsia="Noto Serif CJK SC"/>
                <w:b/>
                <w:color w:val="283E4C"/>
                <w:sz w:val="22"/>
              </w:rPr>
              <w:t>问题不是现有工具做得不够，而是这些工具尚未形成一套能够同时承接生存、幸福与意义的新文明运行逻辑。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二、AGI改变的不是某个行业，而是文明确认人的方式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人类长期通过功能性“有用”确认自身位置：能劳动、能生产、能计算、能管理、能执行，因此被组织需要；被需要，因此获得收入、身份、尊严和安全。当AGI能够替代越来越多功能性劳动、认知性劳动和组织性劳动，真正逼近人类的不是某一轮失业，而是价值确认方式的失效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文明跃迁并非要求人类继续在机器擅长的尺度上证明自己，而是重新确认：人的存在、关系、承担、照护、判断、创造、愿景和意义生成，本身就是文明不可被替代的基础。AGI应当放大这些能力，而不是把人的价值压缩为尚未被机器替代的剩余功能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三、旧博弈逻辑被AGI放大后会形成系统性风险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传统存量秩序以占有、竞争、排他、垄断和赢家通吃为主要动力。这套逻辑在工业时代推动了增长，也制造了持续的资源浪费、社会撕裂和国家安全困境。AGI不会自动超越这种逻辑；它首先会放大训练它、控制它和使用它的目标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如果AGI主要服务于资本增殖、技术封锁、认知操控、国家对抗和军事部署，风险将不再局限于一个领域，而会在就业、分配、公共信任、基础设施、数据、金融、生物安全和军事决策之间互锁传导。文明跃迁不是道德上的可选美好，而是避免智能把旧逻辑推向自毁极限的结构性生存理性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四、为什么必须由国家进入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文明跃迁涉及公共服务底线、资源使用接口、数据主权、AGI基础设施、治理权力边界、财政可持续、公众参与和失败责任。企业可以提供技术，社区可以提供场景，大学可以提供研究，公益组织可以提供社会连接，但只有国家能够同时承担授权、保护、协调、纠错和失败成本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国家进入并不意味着国家预先接受所有制度构想，而是意味着国家承认这一问题已经超出单一部门和单一行业，需要用国家能力进行完整研究。国家的第一责任不是宣布答案，而是让真正的问题获得足够严肃、完整和长期的验证条件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五、与现行国家战略主线的关系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本建议不是脱离现有改革主线的另起炉灶，而是共同富裕、数字政府与智慧城市、普惠人工智能、要素市场化配置、公共服务均等化、国家级新区与自贸区制度创新，在AGI时代的融合升级与综合验证。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它既不是现行政策的替代，也不是对现有制度的否定。它要研究的是：当这些政策工具面对AGI带来的更深层变化时，能否被重新组织为一套同时服务于国家安全、社会稳定、人的幸福与长期意义的文明能力。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第二章 建议阶段归位：现阶段究竟请求国家决定什么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一、不是请求立即批准一套新社会系统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本建议书包含资源池、贡献值、三权分离、向善智能、人员与个体资源池等制度方向，但这些内容在现阶段首先是拟验证命题、原则性结构和研究框架，不是已经完成法律、财政、技术和社会验证的执行规则。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把建议阶段写成执行阶段，会同时制造两种错误：一是让决策者误以为必须一次性接受全部机制，增加不必要的政治风险；二是让尚未经过真实验证的制度细节获得虚假的确定性。文明跃迁不能靠把未来写成现在来推进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二、四级递进决策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rPr>
          <w:tblHeader w:val="true"/>
        </w:trPr>
        <w:tc>
          <w:tcPr>
            <w:tcW w:type="dxa" w:w="187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决策层级</w:t>
            </w:r>
          </w:p>
        </w:tc>
        <w:tc>
          <w:tcPr>
            <w:tcW w:type="dxa" w:w="4365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当前内容</w:t>
            </w:r>
          </w:p>
        </w:tc>
        <w:tc>
          <w:tcPr>
            <w:tcW w:type="dxa" w:w="255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不包含</w:t>
            </w:r>
          </w:p>
        </w:tc>
      </w:tr>
      <w:tr>
        <w:tc>
          <w:tcPr>
            <w:tcW w:type="dxa" w:w="187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第一层：国家级议题确认</w:t>
            </w:r>
          </w:p>
        </w:tc>
        <w:tc>
          <w:tcPr>
            <w:tcW w:type="dxa" w:w="436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确认AGI时代文明跃迁值得进入国家级前瞻研究</w:t>
            </w:r>
          </w:p>
        </w:tc>
        <w:tc>
          <w:tcPr>
            <w:tcW w:type="dxa" w:w="255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不改变任何现行产权、权利和治理规则</w:t>
            </w:r>
          </w:p>
        </w:tc>
      </w:tr>
      <w:tr>
        <w:tc>
          <w:tcPr>
            <w:tcW w:type="dxa" w:w="187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第二层：研究机制授权</w:t>
            </w:r>
          </w:p>
        </w:tc>
        <w:tc>
          <w:tcPr>
            <w:tcW w:type="dxa" w:w="436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成立研究中心、研究院或跨部门联合课题机制</w:t>
            </w:r>
          </w:p>
        </w:tc>
        <w:tc>
          <w:tcPr>
            <w:tcW w:type="dxa" w:w="255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不等于授权城市进入完整实验</w:t>
            </w:r>
          </w:p>
        </w:tc>
      </w:tr>
      <w:tr>
        <w:tc>
          <w:tcPr>
            <w:tcW w:type="dxa" w:w="187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第三层：候选区预研</w:t>
            </w:r>
          </w:p>
        </w:tc>
        <w:tc>
          <w:tcPr>
            <w:tcW w:type="dxa" w:w="436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基线调查、法律财政审查、公众沟通、最小闭环准备</w:t>
            </w:r>
          </w:p>
        </w:tc>
        <w:tc>
          <w:tcPr>
            <w:tcW w:type="dxa" w:w="255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不实施全域资源归集和贡献值全域运行</w:t>
            </w:r>
          </w:p>
        </w:tc>
      </w:tr>
      <w:tr>
        <w:tc>
          <w:tcPr>
            <w:tcW w:type="dxa" w:w="187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第四层：综合实验授权</w:t>
            </w:r>
          </w:p>
        </w:tc>
        <w:tc>
          <w:tcPr>
            <w:tcW w:type="dxa" w:w="436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在前述条件通过后，决定是否进行城市级完整验证</w:t>
            </w:r>
          </w:p>
        </w:tc>
        <w:tc>
          <w:tcPr>
            <w:tcW w:type="dxa" w:w="255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不等于自动复制推广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三、主文与研究储备的关系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主文承担决策完整性：为什么要做、要验证什么、边界在哪里、谁可能进入、失败如何停止。专业协议、证据等级、数据字段、回滚操作、翻译术语、对象接入策略等，作为研究储备文件保留，只有在正式立项后才进入专业工作流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因此，主文不依赖附件才能成立；附件也不得在未获授权时制造“项目已经进入实施”的假象。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第三章 总定位：不是小试点，而是小文明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一、实验性质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本实验区建议定位为“AGI时代文明跃迁国家级综合实验区”。它不是传统意义上的产业园、数字政务试点、公益平台或社会治理创新项目，而是面向AGI时代文明运行方式的缩域完整验证。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所谓缩域完整验证，是指在地理范围、人口规模、资源边界和风险外溢上进行控制，但不拆散系统结构，不把文明跃迁降成一项技术、一套积分或一类公共服务。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二、社会化运行验证原则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文明跃迁要改变的是社会底层逻辑：占有如何产生回报，竞争如何驱动增长，排他如何提供安全，人在何种条件下被确认有价值。这样的逻辑是在长期社会运行中形成的，也只能由社会运行来检验。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真实验证必须包含真实的人群，而不只是志愿者；真实的需求，而不只是被设计的任务；真实的资源，而不只是象征性捐赠；真实的利益冲突，而不只是理念认同者之间的合作；真实的时间，而不只是短期活动数据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F3F6F8"/>
            <w:tcMar>
              <w:top w:w="130" w:type="dxa"/>
              <w:start w:w="220" w:type="dxa"/>
              <w:bottom w:w="130" w:type="dxa"/>
              <w:end w:w="220" w:type="dxa"/>
            </w:tcMar>
          </w:tcPr>
          <w:p>
            <w:pPr>
              <w:spacing w:line="324" w:lineRule="auto"/>
              <w:jc w:val="left"/>
            </w:pPr>
            <w:r>
              <w:rPr>
                <w:rFonts w:ascii="Noto Serif CJK SC" w:hAnsi="Noto Serif CJK SC" w:eastAsia="Noto Serif CJK SC"/>
                <w:b/>
                <w:color w:val="283E4C"/>
                <w:sz w:val="22"/>
              </w:rPr>
              <w:t>社区可以证明善意存在，平台可以证明机制可用，企业可以证明激励有效；只有完整城市，才能证明新的文明逻辑能否活着运行。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三、总原则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1. </w:t>
      </w:r>
      <w:r>
        <w:rPr>
          <w:rFonts w:ascii="Noto Serif CJK SC" w:hAnsi="Noto Serif CJK SC" w:eastAsia="Noto Serif CJK SC"/>
          <w:b w:val="0"/>
          <w:sz w:val="22"/>
        </w:rPr>
        <w:t>国家授权：明确研究、试验、数据、财政、权利保护与停止责任。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2. </w:t>
      </w:r>
      <w:r>
        <w:rPr>
          <w:rFonts w:ascii="Noto Serif CJK SC" w:hAnsi="Noto Serif CJK SC" w:eastAsia="Noto Serif CJK SC"/>
          <w:b w:val="0"/>
          <w:sz w:val="22"/>
        </w:rPr>
        <w:t>城市级承载：具备居民生活、产业、教育、医疗、政务、能源、交通、数据和社区等完整系统。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3. </w:t>
      </w:r>
      <w:r>
        <w:rPr>
          <w:rFonts w:ascii="Noto Serif CJK SC" w:hAnsi="Noto Serif CJK SC" w:eastAsia="Noto Serif CJK SC"/>
          <w:b w:val="0"/>
          <w:sz w:val="22"/>
        </w:rPr>
        <w:t>缩域不降维：控制范围，不拆散六大系统。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4. </w:t>
      </w:r>
      <w:r>
        <w:rPr>
          <w:rFonts w:ascii="Noto Serif CJK SC" w:hAnsi="Noto Serif CJK SC" w:eastAsia="Noto Serif CJK SC"/>
          <w:b w:val="0"/>
          <w:sz w:val="22"/>
        </w:rPr>
        <w:t>目标对齐：一切制度和技术都必须服务于生存无忧、生活幸福、生命更有意义。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5. </w:t>
      </w:r>
      <w:r>
        <w:rPr>
          <w:rFonts w:ascii="Noto Serif CJK SC" w:hAnsi="Noto Serif CJK SC" w:eastAsia="Noto Serif CJK SC"/>
          <w:b w:val="0"/>
          <w:sz w:val="22"/>
        </w:rPr>
        <w:t>相位渐进：启动、初期、过渡、稳定不可相互僭越。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6. </w:t>
      </w:r>
      <w:r>
        <w:rPr>
          <w:rFonts w:ascii="Noto Serif CJK SC" w:hAnsi="Noto Serif CJK SC" w:eastAsia="Noto Serif CJK SC"/>
          <w:b w:val="0"/>
          <w:sz w:val="22"/>
        </w:rPr>
        <w:t>可审计、可纠错、可暂停、可退出：任何机制都不得成为不可逆权力结构。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7. </w:t>
      </w:r>
      <w:r>
        <w:rPr>
          <w:rFonts w:ascii="Noto Serif CJK SC" w:hAnsi="Noto Serif CJK SC" w:eastAsia="Noto Serif CJK SC"/>
          <w:b w:val="0"/>
          <w:sz w:val="22"/>
        </w:rPr>
        <w:t>事实胜于宣传：文明高地必须允许支持者、怀疑者、反对者和退出者独立核验。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四、文明高地的定义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文明高地不是GDP高地、楼宇高地或技术炫耀高地。它必须真实地让人感到：基础生存更加安全，生活更加稳定，贡献更加可见，资源不再长期沉睡，强者不再被旧博弈困住，普通人不再被系统判为多余，AGI不再被迫成为恐惧、控制与战争的工具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文明高地的力量不在于宣布自己优越，而在于让外界能够进入事实、看见边界、复核结果、指出失败，并确认另一条道路已经可以开始行走。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第四章 三大元目标与核心验证命题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一、三大元目标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rPr>
          <w:tblHeader w:val="true"/>
        </w:trPr>
        <w:tc>
          <w:tcPr>
            <w:tcW w:type="dxa" w:w="170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元目标</w:t>
            </w:r>
          </w:p>
        </w:tc>
        <w:tc>
          <w:tcPr>
            <w:tcW w:type="dxa" w:w="4139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定义</w:t>
            </w:r>
          </w:p>
        </w:tc>
        <w:tc>
          <w:tcPr>
            <w:tcW w:type="dxa" w:w="2948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最低检验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生存无忧</w:t>
            </w:r>
          </w:p>
        </w:tc>
        <w:tc>
          <w:tcPr>
            <w:tcW w:type="dxa" w:w="4139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基础生存不再以羞辱、排斥和极端竞争为前提</w:t>
            </w:r>
          </w:p>
        </w:tc>
        <w:tc>
          <w:tcPr>
            <w:tcW w:type="dxa" w:w="294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住房、医疗、教育、能源、信息和基础AGI能力稳定可及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生活幸福</w:t>
            </w:r>
          </w:p>
        </w:tc>
        <w:tc>
          <w:tcPr>
            <w:tcW w:type="dxa" w:w="4139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在安全底座上获得更稳定的服务、更自由的时间、更可信的关系与成长通道</w:t>
            </w:r>
          </w:p>
        </w:tc>
        <w:tc>
          <w:tcPr>
            <w:tcW w:type="dxa" w:w="294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家庭压力下降、公共服务满意、社区信任与公平感提高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生命更有意义</w:t>
            </w:r>
          </w:p>
        </w:tc>
        <w:tc>
          <w:tcPr>
            <w:tcW w:type="dxa" w:w="4139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贡献、照护、创造、承担和关系被看见、被承接、被记住</w:t>
            </w:r>
          </w:p>
        </w:tc>
        <w:tc>
          <w:tcPr>
            <w:tcW w:type="dxa" w:w="294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被需要焦虑、孤独感下降，普通贡献获得真实回应</w:t>
            </w:r>
          </w:p>
        </w:tc>
      </w:tr>
    </w:tbl>
    <w:p>
      <w:pPr>
        <w:spacing w:after="0"/>
      </w:pP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三者层层递进，却不能被拆成先后完成的三个项目。没有生存无忧，幸福和意义会被持续焦虑吞噬；只有生存保障，没有幸福和意义，社会可能成为高效而空洞的系统；追求意义若损害基本安全和自由，则说明制度已经偏离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二、核心验证命题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1. </w:t>
      </w:r>
      <w:r>
        <w:rPr>
          <w:rFonts w:ascii="Noto Serif CJK SC" w:hAnsi="Noto Serif CJK SC" w:eastAsia="Noto Serif CJK SC"/>
          <w:b w:val="0"/>
          <w:sz w:val="22"/>
        </w:rPr>
        <w:t>城市能否通过资源发现、授权和调度，提高真实资源使用率，同时不先改变合法所有权？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2. </w:t>
      </w:r>
      <w:r>
        <w:rPr>
          <w:rFonts w:ascii="Noto Serif CJK SC" w:hAnsi="Noto Serif CJK SC" w:eastAsia="Noto Serif CJK SC"/>
          <w:b w:val="0"/>
          <w:sz w:val="22"/>
        </w:rPr>
        <w:t>基础生存能否逐步成为文明能力的底线分配，而不是对失败者的羞辱性救助？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3. </w:t>
      </w:r>
      <w:r>
        <w:rPr>
          <w:rFonts w:ascii="Noto Serif CJK SC" w:hAnsi="Noto Serif CJK SC" w:eastAsia="Noto Serif CJK SC"/>
          <w:b w:val="0"/>
          <w:sz w:val="22"/>
        </w:rPr>
        <w:t>真实贡献能否被确认，并与基础权利之外的增量资源机会、荣誉和治理参与形成可信连接？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4. </w:t>
      </w:r>
      <w:r>
        <w:rPr>
          <w:rFonts w:ascii="Noto Serif CJK SC" w:hAnsi="Noto Serif CJK SC" w:eastAsia="Noto Serif CJK SC"/>
          <w:b w:val="0"/>
          <w:sz w:val="22"/>
        </w:rPr>
        <w:t>贡献值能否保持制度强度，同时不滑向人格评分、社会等级和购买一切的新权力？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5. </w:t>
      </w:r>
      <w:r>
        <w:rPr>
          <w:rFonts w:ascii="Noto Serif CJK SC" w:hAnsi="Noto Serif CJK SC" w:eastAsia="Noto Serif CJK SC"/>
          <w:b w:val="0"/>
          <w:sz w:val="22"/>
        </w:rPr>
        <w:t>资源使用权、领域决策权、文明表决权能否真正分离？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6. </w:t>
      </w:r>
      <w:r>
        <w:rPr>
          <w:rFonts w:ascii="Noto Serif CJK SC" w:hAnsi="Noto Serif CJK SC" w:eastAsia="Noto Serif CJK SC"/>
          <w:b w:val="0"/>
          <w:sz w:val="22"/>
        </w:rPr>
        <w:t>AGI能否提高风险感知、资源匹配、政策推演和公共服务能力，同时不拿走人类最终判断权？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7. </w:t>
      </w:r>
      <w:r>
        <w:rPr>
          <w:rFonts w:ascii="Noto Serif CJK SC" w:hAnsi="Noto Serif CJK SC" w:eastAsia="Noto Serif CJK SC"/>
          <w:b w:val="0"/>
          <w:sz w:val="22"/>
        </w:rPr>
        <w:t>人员与个体资源池能否在权利保障下更广泛地可达、可用和自主流动？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8. </w:t>
      </w:r>
      <w:r>
        <w:rPr>
          <w:rFonts w:ascii="Noto Serif CJK SC" w:hAnsi="Noto Serif CJK SC" w:eastAsia="Noto Serif CJK SC"/>
          <w:b w:val="0"/>
          <w:sz w:val="22"/>
        </w:rPr>
        <w:t>普通人的照护、维护、陪伴、知识传递、组织协调和风险承担能否被看见？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9. </w:t>
      </w:r>
      <w:r>
        <w:rPr>
          <w:rFonts w:ascii="Noto Serif CJK SC" w:hAnsi="Noto Serif CJK SC" w:eastAsia="Noto Serif CJK SC"/>
          <w:b w:val="0"/>
          <w:sz w:val="22"/>
        </w:rPr>
        <w:t>弱势群体能否不再只被定义为负担，其需求和接受是否能够被确认具有文明价值？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10. </w:t>
      </w:r>
      <w:r>
        <w:rPr>
          <w:rFonts w:ascii="Noto Serif CJK SC" w:hAnsi="Noto Serif CJK SC" w:eastAsia="Noto Serif CJK SC"/>
          <w:b w:val="0"/>
          <w:sz w:val="22"/>
        </w:rPr>
        <w:t>不同群体能否在不先受损的条件下，找到进入新逻辑的真实收益？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11. </w:t>
      </w:r>
      <w:r>
        <w:rPr>
          <w:rFonts w:ascii="Noto Serif CJK SC" w:hAnsi="Noto Serif CJK SC" w:eastAsia="Noto Serif CJK SC"/>
          <w:b w:val="0"/>
          <w:sz w:val="22"/>
        </w:rPr>
        <w:t>实验区能否减少无用感、孤独感、未来焦虑和被替代恐惧？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12. </w:t>
      </w:r>
      <w:r>
        <w:rPr>
          <w:rFonts w:ascii="Noto Serif CJK SC" w:hAnsi="Noto Serif CJK SC" w:eastAsia="Noto Serif CJK SC"/>
          <w:b w:val="0"/>
          <w:sz w:val="22"/>
        </w:rPr>
        <w:t>这种运行方式能否增强国家安全、发展和持续，而不是削弱国家自主性？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13. </w:t>
      </w:r>
      <w:r>
        <w:rPr>
          <w:rFonts w:ascii="Noto Serif CJK SC" w:hAnsi="Noto Serif CJK SC" w:eastAsia="Noto Serif CJK SC"/>
          <w:b w:val="0"/>
          <w:sz w:val="22"/>
        </w:rPr>
        <w:t>实验区能否建立国内外都可进入、可复核、可质疑的文明高地证据？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第五章 相位纪律：因果渐进、全员无损、禁止对立死结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一、相位由因果触发，不由日历触发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80"/>
        <w:gridCol w:w="2380"/>
        <w:gridCol w:w="2380"/>
        <w:gridCol w:w="2380"/>
      </w:tblGrid>
      <w:tr>
        <w:trPr>
          <w:tblHeader w:val="true"/>
        </w:trPr>
        <w:tc>
          <w:tcPr>
            <w:tcW w:type="dxa" w:w="1247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相位</w:t>
            </w:r>
          </w:p>
        </w:tc>
        <w:tc>
          <w:tcPr>
            <w:tcW w:type="dxa" w:w="3005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主要任务</w:t>
            </w:r>
          </w:p>
        </w:tc>
        <w:tc>
          <w:tcPr>
            <w:tcW w:type="dxa" w:w="170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规则性质</w:t>
            </w:r>
          </w:p>
        </w:tc>
        <w:tc>
          <w:tcPr>
            <w:tcW w:type="dxa" w:w="289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不可越过的边界</w:t>
            </w:r>
          </w:p>
        </w:tc>
      </w:tr>
      <w:tr>
        <w:tc>
          <w:tcPr>
            <w:tcW w:type="dxa" w:w="124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启动期</w:t>
            </w:r>
          </w:p>
        </w:tc>
        <w:tc>
          <w:tcPr>
            <w:tcW w:type="dxa" w:w="300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识别各群体动力源，建立自愿入口和即时可感收益</w:t>
            </w:r>
          </w:p>
        </w:tc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邀请性规则</w:t>
            </w:r>
          </w:p>
        </w:tc>
        <w:tc>
          <w:tcPr>
            <w:tcW w:type="dxa" w:w="289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只设可选择收益，不设强制义务；现状底线不得因方案启动而劣化</w:t>
            </w:r>
          </w:p>
        </w:tc>
      </w:tr>
      <w:tr>
        <w:tc>
          <w:tcPr>
            <w:tcW w:type="dxa" w:w="124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初期</w:t>
            </w:r>
          </w:p>
        </w:tc>
        <w:tc>
          <w:tcPr>
            <w:tcW w:type="dxa" w:w="300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在局部完整单元验证记录、匹配、承接、退出和回滚</w:t>
            </w:r>
          </w:p>
        </w:tc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验证性规则</w:t>
            </w:r>
          </w:p>
        </w:tc>
        <w:tc>
          <w:tcPr>
            <w:tcW w:type="dxa" w:w="289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可观察、可退出、可修正；失败成本由方案承担</w:t>
            </w:r>
          </w:p>
        </w:tc>
      </w:tr>
      <w:tr>
        <w:tc>
          <w:tcPr>
            <w:tcW w:type="dxa" w:w="124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过渡期</w:t>
            </w:r>
          </w:p>
        </w:tc>
        <w:tc>
          <w:tcPr>
            <w:tcW w:type="dxa" w:w="300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多数联盟和中观闭环逐步形成，规则互认和协同扩大</w:t>
            </w:r>
          </w:p>
        </w:tc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涌现性规则</w:t>
            </w:r>
          </w:p>
        </w:tc>
        <w:tc>
          <w:tcPr>
            <w:tcW w:type="dxa" w:w="289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后来者面对的是吸引力，不是惩罚；未加入者保有旧路径权利</w:t>
            </w:r>
          </w:p>
        </w:tc>
      </w:tr>
      <w:tr>
        <w:tc>
          <w:tcPr>
            <w:tcW w:type="dxa" w:w="124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稳定期</w:t>
            </w:r>
          </w:p>
        </w:tc>
        <w:tc>
          <w:tcPr>
            <w:tcW w:type="dxa" w:w="300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全局规则形成，宪制托底，系统进入自运行</w:t>
            </w:r>
          </w:p>
        </w:tc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宪制性规则</w:t>
            </w:r>
          </w:p>
        </w:tc>
        <w:tc>
          <w:tcPr>
            <w:tcW w:type="dxa" w:w="289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生存权为出厂设置；文明表决守航道；刹车留在每个人手中</w:t>
            </w:r>
          </w:p>
        </w:tc>
      </w:tr>
    </w:tbl>
    <w:p>
      <w:pPr>
        <w:spacing w:after="0"/>
      </w:pP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稳定期可能出现的全域资源协调、全域贡献运行或产权形态变化，不得被当作启动期行动方案。启动期的自愿邀请，也不得被误读为体系最终只能停留在自愿公益。相位标签的目的，是使每个承诺在时间上可观察、在阶段上可核验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二、三条设计铁律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/>
          <w:sz w:val="22"/>
        </w:rPr>
        <w:t>第一，相位标注强制律。</w:t>
      </w:r>
      <w:r>
        <w:rPr>
          <w:rFonts w:ascii="Noto Serif CJK SC" w:hAnsi="Noto Serif CJK SC" w:eastAsia="Noto Serif CJK SC"/>
          <w:b w:val="0"/>
          <w:sz w:val="22"/>
        </w:rPr>
        <w:t>任何机制、图景和规则必须说明其适用相位或长期尺度，禁止用未来图景替代当前授权。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/>
          <w:sz w:val="22"/>
        </w:rPr>
        <w:t>第二，全员无损律。</w:t>
      </w:r>
      <w:r>
        <w:rPr>
          <w:rFonts w:ascii="Noto Serif CJK SC" w:hAnsi="Noto Serif CJK SC" w:eastAsia="Noto Serif CJK SC"/>
          <w:b w:val="0"/>
          <w:sz w:val="22"/>
        </w:rPr>
        <w:t>每一次迭代前后，任何群体的合法权益与现状底线不得因方案存在而被强制劣化。无法给出无损保障，不说明群体应当牺牲，而说明方案尚未成熟。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/>
          <w:sz w:val="22"/>
        </w:rPr>
        <w:t>第三，对立死结禁令。</w:t>
      </w:r>
      <w:r>
        <w:rPr>
          <w:rFonts w:ascii="Noto Serif CJK SC" w:hAnsi="Noto Serif CJK SC" w:eastAsia="Noto Serif CJK SC"/>
          <w:b w:val="0"/>
          <w:sz w:val="22"/>
        </w:rPr>
        <w:t>任何必须先击败、剥夺或压服某个群体才能推进的方案，都已经在复制旧逻辑。正确解法不是增加压力，而是回到动力源，把“让步”重新设计为“换入”。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F3F6F8"/>
            <w:tcMar>
              <w:top w:w="130" w:type="dxa"/>
              <w:start w:w="220" w:type="dxa"/>
              <w:bottom w:w="130" w:type="dxa"/>
              <w:end w:w="220" w:type="dxa"/>
            </w:tcMar>
          </w:tcPr>
          <w:p>
            <w:pPr>
              <w:spacing w:line="324" w:lineRule="auto"/>
              <w:jc w:val="left"/>
            </w:pPr>
            <w:r>
              <w:rPr>
                <w:rFonts w:ascii="Noto Serif CJK SC" w:hAnsi="Noto Serif CJK SC" w:eastAsia="Noto Serif CJK SC"/>
                <w:b/>
                <w:color w:val="283E4C"/>
                <w:sz w:val="22"/>
              </w:rPr>
              <w:t>死结三问：这个方案要求谁先让步？让步者得到什么即时可感的回报？若其拒绝，方案是否仍能启动？第三问答案为“否”，方案即应退回重设计。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三、相位切换的权力边界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研究机构、管理机构和专业委员会可以提交事实、风险、权利影响和升级建议，但不能自行宣布文明进入下一相位。涉及全体根本权益、不可逆方向和重大产权规则的相位切换，应在充分披露无损证明、失败记录、回滚方案、少数意见和“不升级”替代路径后，进入一人一票的文明表决。贡献值在此清零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第六章 七类群体为什么可能进入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文明跃迁不能依靠抽象愿景或道德要求启动。不同群体必须从自身真实利益、恐惧与价值感出发，看到进入新逻辑的即时理由。启动期首先是动力源设计，而不是全局制度部署。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80"/>
        <w:gridCol w:w="2380"/>
        <w:gridCol w:w="2380"/>
        <w:gridCol w:w="2380"/>
      </w:tblGrid>
      <w:tr>
        <w:trPr>
          <w:tblHeader w:val="true"/>
        </w:trPr>
        <w:tc>
          <w:tcPr>
            <w:tcW w:type="dxa" w:w="153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6"/>
              </w:rPr>
              <w:t>群体</w:t>
            </w:r>
          </w:p>
        </w:tc>
        <w:tc>
          <w:tcPr>
            <w:tcW w:type="dxa" w:w="2098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6"/>
              </w:rPr>
              <w:t>核心恐惧</w:t>
            </w:r>
          </w:p>
        </w:tc>
        <w:tc>
          <w:tcPr>
            <w:tcW w:type="dxa" w:w="204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6"/>
              </w:rPr>
              <w:t>真实动力源</w:t>
            </w:r>
          </w:p>
        </w:tc>
        <w:tc>
          <w:tcPr>
            <w:tcW w:type="dxa" w:w="323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6"/>
              </w:rPr>
              <w:t>启动期无损进入理由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存量资本与精英</w:t>
            </w:r>
          </w:p>
        </w:tc>
        <w:tc>
          <w:tcPr>
            <w:tcW w:type="dxa" w:w="209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清算、贬值、历史否定</w:t>
            </w:r>
          </w:p>
        </w:tc>
        <w:tc>
          <w:tcPr>
            <w:tcW w:type="dxa" w:w="204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资产安全、尊严转型、长期传承</w:t>
            </w:r>
          </w:p>
        </w:tc>
        <w:tc>
          <w:tcPr>
            <w:tcW w:type="dxa" w:w="32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合法存量保护前置；自愿开放资源获得确定性避险、长期使用机会和文明贡献确认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专业贡献者</w:t>
            </w:r>
          </w:p>
        </w:tc>
        <w:tc>
          <w:tcPr>
            <w:tcW w:type="dxa" w:w="209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被AI替代、专业判断失效</w:t>
            </w:r>
          </w:p>
        </w:tc>
        <w:tc>
          <w:tcPr>
            <w:tcW w:type="dxa" w:w="204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经验正义、真实贡献被承认</w:t>
            </w:r>
          </w:p>
        </w:tc>
        <w:tc>
          <w:tcPr>
            <w:tcW w:type="dxa" w:w="32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领域贡献与专业决策位置即时关联，署名、追溯与责任边界清晰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普通劳动者</w:t>
            </w:r>
          </w:p>
        </w:tc>
        <w:tc>
          <w:tcPr>
            <w:tcW w:type="dxa" w:w="209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失业、收入不稳、跟不上时代</w:t>
            </w:r>
          </w:p>
        </w:tc>
        <w:tc>
          <w:tcPr>
            <w:tcW w:type="dxa" w:w="204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被需要感、可预期生活改善</w:t>
            </w:r>
          </w:p>
        </w:tc>
        <w:tc>
          <w:tcPr>
            <w:tcW w:type="dxa" w:w="32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基础安全不依赖贡献；照护、维护、社区在场等贡献从第一天可被看见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被替代者与失位者</w:t>
            </w:r>
          </w:p>
        </w:tc>
        <w:tc>
          <w:tcPr>
            <w:tcW w:type="dxa" w:w="209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被判为多余、无用</w:t>
            </w:r>
          </w:p>
        </w:tc>
        <w:tc>
          <w:tcPr>
            <w:tcW w:type="dxa" w:w="204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重新被需要、意义获得承接</w:t>
            </w:r>
          </w:p>
        </w:tc>
        <w:tc>
          <w:tcPr>
            <w:tcW w:type="dxa" w:w="32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不以恢复旧岗位为条件，优先开放意义承接、学习、照护和新场景入口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青年与未入场者</w:t>
            </w:r>
          </w:p>
        </w:tc>
        <w:tc>
          <w:tcPr>
            <w:tcW w:type="dxa" w:w="209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努力贬值、赛道消失</w:t>
            </w:r>
          </w:p>
        </w:tc>
        <w:tc>
          <w:tcPr>
            <w:tcW w:type="dxa" w:w="204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新的成长坐标、探索与创造</w:t>
            </w:r>
          </w:p>
        </w:tc>
        <w:tc>
          <w:tcPr>
            <w:tcW w:type="dxa" w:w="32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低门槛参与、教育转向、试点参与权；婴儿与基本生存条款不依赖贡献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治理者与决策者</w:t>
            </w:r>
          </w:p>
        </w:tc>
        <w:tc>
          <w:tcPr>
            <w:tcW w:type="dxa" w:w="209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失控、被AI架空、责任不可归因</w:t>
            </w:r>
          </w:p>
        </w:tc>
        <w:tc>
          <w:tcPr>
            <w:tcW w:type="dxa" w:w="204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有责选择、历史评价、社会稳定</w:t>
            </w:r>
          </w:p>
        </w:tc>
        <w:tc>
          <w:tcPr>
            <w:tcW w:type="dxa" w:w="32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人类最终启动与终止权宪制化；试验可控、失败可停、责任有边界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AGI开发与安全社群</w:t>
            </w:r>
          </w:p>
        </w:tc>
        <w:tc>
          <w:tcPr>
            <w:tcW w:type="dxa" w:w="209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军备竞赛裹挟、责任无限、成果武器化</w:t>
            </w:r>
          </w:p>
        </w:tc>
        <w:tc>
          <w:tcPr>
            <w:tcW w:type="dxa" w:w="204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技术服务文明目标、边界内创造自由</w:t>
            </w:r>
          </w:p>
        </w:tc>
        <w:tc>
          <w:tcPr>
            <w:tcW w:type="dxa" w:w="32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共同制定审计和安全边界，以透明度换取信任和责任清晰</w:t>
            </w:r>
          </w:p>
        </w:tc>
      </w:tr>
    </w:tbl>
    <w:p>
      <w:pPr>
        <w:spacing w:after="0"/>
      </w:pP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各群体的激励不得互为代价。不能用普通劳动者的损失换取资本进入，也不能用合法资本的强制损失换取公众支持；不能用专家权力压制公众根本权利，也不能用一人一票取消复杂领域的专业责任。文明跃迁的设计价值，恰恰在于寻找多方能够同时改善的结构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第七章 实验区承载条件与选址标准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一、最低承载条件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1. </w:t>
      </w:r>
      <w:r>
        <w:rPr>
          <w:rFonts w:ascii="Noto Serif CJK SC" w:hAnsi="Noto Serif CJK SC" w:eastAsia="Noto Serif CJK SC"/>
          <w:b w:val="0"/>
          <w:sz w:val="22"/>
        </w:rPr>
        <w:t>独立完整的社会运行闭环：居民生活、教育、医疗、产业、能源、交通、政务、数据、社区与公共服务基本齐备。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2. </w:t>
      </w:r>
      <w:r>
        <w:rPr>
          <w:rFonts w:ascii="Noto Serif CJK SC" w:hAnsi="Noto Serif CJK SC" w:eastAsia="Noto Serif CJK SC"/>
          <w:b w:val="0"/>
          <w:sz w:val="22"/>
        </w:rPr>
        <w:t>足够的国家或地方授权空间：能够开展研究性的数据、资源使用接口、公共服务和AGI辅助治理验证。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3. </w:t>
      </w:r>
      <w:r>
        <w:rPr>
          <w:rFonts w:ascii="Noto Serif CJK SC" w:hAnsi="Noto Serif CJK SC" w:eastAsia="Noto Serif CJK SC"/>
          <w:b w:val="0"/>
          <w:sz w:val="22"/>
        </w:rPr>
        <w:t>真实可发现与可授权资源：公共空间、设备、算力、教育医疗能力、知识、社会照护和企业开放资源等。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4. </w:t>
      </w:r>
      <w:r>
        <w:rPr>
          <w:rFonts w:ascii="Noto Serif CJK SC" w:hAnsi="Noto Serif CJK SC" w:eastAsia="Noto Serif CJK SC"/>
          <w:b w:val="0"/>
          <w:sz w:val="22"/>
        </w:rPr>
        <w:t>完整数据基础与合法治理能力：数据来源、用途、访问、撤回和审计边界清晰。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5. </w:t>
      </w:r>
      <w:r>
        <w:rPr>
          <w:rFonts w:ascii="Noto Serif CJK SC" w:hAnsi="Noto Serif CJK SC" w:eastAsia="Noto Serif CJK SC"/>
          <w:b w:val="0"/>
          <w:sz w:val="22"/>
        </w:rPr>
        <w:t>AGI应用基础：具备本地部署、风险感知、资源匹配、政策推演和人工复核能力。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6. </w:t>
      </w:r>
      <w:r>
        <w:rPr>
          <w:rFonts w:ascii="Noto Serif CJK SC" w:hAnsi="Noto Serif CJK SC" w:eastAsia="Noto Serif CJK SC"/>
          <w:b w:val="0"/>
          <w:sz w:val="22"/>
        </w:rPr>
        <w:t>独立审计、申诉、暂停与回滚能力。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7. </w:t>
      </w:r>
      <w:r>
        <w:rPr>
          <w:rFonts w:ascii="Noto Serif CJK SC" w:hAnsi="Noto Serif CJK SC" w:eastAsia="Noto Serif CJK SC"/>
          <w:b w:val="0"/>
          <w:sz w:val="22"/>
        </w:rPr>
        <w:t>风险外溢可控：试验边界清楚，失败能够局部消化，不制造全国性不可逆后果。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8. </w:t>
      </w:r>
      <w:r>
        <w:rPr>
          <w:rFonts w:ascii="Noto Serif CJK SC" w:hAnsi="Noto Serif CJK SC" w:eastAsia="Noto Serif CJK SC"/>
          <w:b w:val="0"/>
          <w:sz w:val="22"/>
        </w:rPr>
        <w:t>公众沟通与真实参与基础：不是只选择理念认同者，而能承受普通居民的利益、疑虑和反对。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二、优先承载类型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国家级新区、自贸区或特别开放区、数字治理先进城市、科创城与大学城、资源型转型城市，均可能成为候选承载体。选址不是寻找最先进、最富裕或最容易宣传的城市，而是寻找最可能形成完整社会闭环、最能承受真实验证、最有能力公开失败的地区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三、人口流动与准入不预设单一答案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基础保障改善可能带来人口流入，城市承载力、公共服务、财政责任、表决资格和权利衔接需要专项研究。现阶段不预先锁定“原生居民自动完整权利、新进居民分阶段解锁”等具体规则，而应在法律平等、财政可持续、长期居住事实和公共承载力之间建立透明、可申诉、可调整的方案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第八章 总体架构：六大系统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一、基础生存保障系统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基础生存不是贡献奖励，而是文明成立的前提。实验拟研究：在现有财政、公共服务、资源有效使用和AGI辅助共同作用下，能否使基础居住、医疗、教育、能源、交通、信息和基础AGI能力更加稳定可及，并减少羞辱、筛选和排斥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财政结构可分为现有公共服务平移、资源有效使用带来的增量收益、国家改革专项与风险缓冲三层。任何保障扩展都必须进行财政敏感性分析，不能以未来资源池收益替代当前确定的财政责任。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二、城市资源池系统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资源池的核心不是把所有资源变成共同所有，而是建立资源可发现、可授权、可匹配、可调度、可清算、可撤回的接口，使长期空置、低效和重复建设的资源进入真实使用。拥有与使用被区分：资源可以继续被合法拥有，只有进入真实使用并产生公共价值，才形成相应贡献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启动期以自愿登记、时段开放、额度调用、接口许可和可撤回授权为主；初期在限定领域验证公共资源、国有资产使用接口、企业开放资源、空间、设备、算力、数据、课程和照护能力；过渡期才可能扩大协调范围。所有权自愿让渡可以作为选择通道，稳定期是否出现更广泛产权形态变化，必须另行研究并交由文明表决，不由本建议书预先锁定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三、贡献值与治理信用系统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贡献值记录行为或资源使用对三大元目标产生的净正向结果，不评价人的生命价值，不决定人的存在资格。资产、劳动、知识、照护、维护、组织、风险承担和公共问题解决都可以成为贡献来源；贡献分大小，不分来源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贡献不是捐赠。捐赠者可以表达用途意愿，但制度确认的是行为的客观流向和最终结果，不能由贡献者单方面指定如何评价。动机不是主要核验对象，事实与结果才是核心。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基础生存权不需要通过贡献获得。在基础权利之上，增量性、竞争性的资源优先、荣誉、部分治理参与和可继承贡献收益，应主要通过对他人、共同体和三大元目标产生实质正向结果的行为获得。利己的增量通道由利他行为与结果打开，而不是由占有、排他、垄断和压制打开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贡献值可以研究代际传承，但必须与原生贡献区分并逐代衰减；资源和决策权不能因血缘自动继承。领域决策权与文明表决权在任何情况下都不可继承。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四、三权分离治理系统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实验区必须严格区分资源使用权、领域决策权和文明表决权。资源使用权回应真实贡献和有效使用能力；领域决策权体现经验正义，只在相关专业领域内有效；文明表决权处理全体根本权益、不可逆方向和重大公共风险，一人一票，贡献值清零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三权分离的目的，不是制造更多程序，而是防止任何一种优势扩张为全面支配：财富不能直接统治文明，专业不能取消公众根本权利，公众多数也不能替代复杂领域的责任判断。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五、向善智能系统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AGI用于风险感知、资源发现、供需匹配、公共服务调度、政策推演、长期影响分析、跨语言协同和个人能力外延。它必须可解释、可审计、可暂停、可回滚，并明确未知、置信度和责任锚点。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AGI不得单独决定人的资格、基本权利、资源剥夺、公共规则和文明方向；不得通过统一人格画像影响跨领域待遇；不得以技术支持制造永久依赖。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六、意义涌现与人心系统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这一系统专门防止实验区退化为“数据好看、人心失落”的技术治理工程。它要观察老人是否更少孤独，青年是否更有未来感，照护是否被看见，家庭压力是否下降，普通人的善意和能力是否能抵达真实的人，人是否更少感觉自己无用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人心与意义不是宣传部门的情绪指标，而是元目标能否实现的真实证据。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第九章 核心制度机制与边界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一、资源池八步流程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1. </w:t>
      </w:r>
      <w:r>
        <w:rPr>
          <w:rFonts w:ascii="Noto Serif CJK SC" w:hAnsi="Noto Serif CJK SC" w:eastAsia="Noto Serif CJK SC"/>
          <w:b w:val="0"/>
          <w:sz w:val="22"/>
        </w:rPr>
        <w:t>登记：记录资源类型、权属、当前使用、可开放方式、期限、风险边界和预期价值。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2. </w:t>
      </w:r>
      <w:r>
        <w:rPr>
          <w:rFonts w:ascii="Noto Serif CJK SC" w:hAnsi="Noto Serif CJK SC" w:eastAsia="Noto Serif CJK SC"/>
          <w:b w:val="0"/>
          <w:sz w:val="22"/>
        </w:rPr>
        <w:t>评估：分析空置程度、共享可能、维护成本、法律风险和公共价值潜力。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3. </w:t>
      </w:r>
      <w:r>
        <w:rPr>
          <w:rFonts w:ascii="Noto Serif CJK SC" w:hAnsi="Noto Serif CJK SC" w:eastAsia="Noto Serif CJK SC"/>
          <w:b w:val="0"/>
          <w:sz w:val="22"/>
        </w:rPr>
        <w:t>授权：以使用权、调用权、时段权、额度权、接口权和许可权进入，不默认改变所有权。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4. </w:t>
      </w:r>
      <w:r>
        <w:rPr>
          <w:rFonts w:ascii="Noto Serif CJK SC" w:hAnsi="Noto Serif CJK SC" w:eastAsia="Noto Serif CJK SC"/>
          <w:b w:val="0"/>
          <w:sz w:val="22"/>
        </w:rPr>
        <w:t>匹配：AGI可辅助识别需求与资源，但不得黑箱分配。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5. </w:t>
      </w:r>
      <w:r>
        <w:rPr>
          <w:rFonts w:ascii="Noto Serif CJK SC" w:hAnsi="Noto Serif CJK SC" w:eastAsia="Noto Serif CJK SC"/>
          <w:b w:val="0"/>
          <w:sz w:val="22"/>
        </w:rPr>
        <w:t>使用：明确责任、损耗、保险、边界和终止条件。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6. </w:t>
      </w:r>
      <w:r>
        <w:rPr>
          <w:rFonts w:ascii="Noto Serif CJK SC" w:hAnsi="Noto Serif CJK SC" w:eastAsia="Noto Serif CJK SC"/>
          <w:b w:val="0"/>
          <w:sz w:val="22"/>
        </w:rPr>
        <w:t>反馈：使用方、受益方和管理方确认是否产生正向结果。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7. </w:t>
      </w:r>
      <w:r>
        <w:rPr>
          <w:rFonts w:ascii="Noto Serif CJK SC" w:hAnsi="Noto Serif CJK SC" w:eastAsia="Noto Serif CJK SC"/>
          <w:b w:val="0"/>
          <w:sz w:val="22"/>
        </w:rPr>
        <w:t>审计：高价值、高风险和高争议资源接受独立审计。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8. </w:t>
      </w:r>
      <w:r>
        <w:rPr>
          <w:rFonts w:ascii="Noto Serif CJK SC" w:hAnsi="Noto Serif CJK SC" w:eastAsia="Noto Serif CJK SC"/>
          <w:b w:val="0"/>
          <w:sz w:val="22"/>
        </w:rPr>
        <w:t>再配置或退出：长期无效、伪装使用或权利受损时，停止授权、重新匹配或退出。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二、贡献确认的四条原则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1. </w:t>
      </w:r>
      <w:r>
        <w:rPr>
          <w:rFonts w:ascii="Noto Serif CJK SC" w:hAnsi="Noto Serif CJK SC" w:eastAsia="Noto Serif CJK SC"/>
          <w:b w:val="0"/>
          <w:sz w:val="22"/>
        </w:rPr>
        <w:t>事实锚定：只确认真实发生、可验证、可追溯的贡献。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2. </w:t>
      </w:r>
      <w:r>
        <w:rPr>
          <w:rFonts w:ascii="Noto Serif CJK SC" w:hAnsi="Noto Serif CJK SC" w:eastAsia="Noto Serif CJK SC"/>
          <w:b w:val="0"/>
          <w:sz w:val="22"/>
        </w:rPr>
        <w:t>正负分离：不得以事后捐赠抵消先前制造的重大负向结果。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3. </w:t>
      </w:r>
      <w:r>
        <w:rPr>
          <w:rFonts w:ascii="Noto Serif CJK SC" w:hAnsi="Noto Serif CJK SC" w:eastAsia="Noto Serif CJK SC"/>
          <w:b w:val="0"/>
          <w:sz w:val="22"/>
        </w:rPr>
        <w:t>领域关联：专业贡献只影响相关领域，不形成跨域人格总分。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4. </w:t>
      </w:r>
      <w:r>
        <w:rPr>
          <w:rFonts w:ascii="Noto Serif CJK SC" w:hAnsi="Noto Serif CJK SC" w:eastAsia="Noto Serif CJK SC"/>
          <w:b w:val="0"/>
          <w:sz w:val="22"/>
        </w:rPr>
        <w:t>后向追溯：重大风险承担、长期创新和高不确定项目，在结果得到验证后追加确认。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三、“需求被满足即贡献”的准确位置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孤寡老人、残障人士、长期病患和其他需要照护的人，不应只被定义为系统负担。真实需求为利他行为提供对象，接受帮助使照护产生事实结果。没有被需要者，利他意愿无法抵达现实。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本建议提出验证命题：被确认有效满足的需求，可以形成受益方的贡献记录或意义回应记录。启动期不要求受助者主动申报，不强迫反馈，不将其用于人格评分，也不影响基础权利。是否进一步与增量资源使用权连接，应在隐私保护、公众审议和专项实验后决定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四、公有机构的三目标锚定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医院、学校、科研机构和公共服务企业的存在目的，应重新回到居民三大元目标。不是取消效率、成本和专业评价，而是不允许创收、升学率、论文数量和利润率取代公共使命。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医院应同时评价医疗可及、健康改善和财政可持续；学校应同时评价教育公平、成长质量和专业水平；科研机构应评价知识创造、成果使用和长期公共价值；公共服务企业应评价稳定性、普惠性、韧性和成本。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五、贡献评估的基础与动态双层结构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基础体系在启动期保持简单、稳定、符合现有认知，使参与者知道什么被记录、为什么被记录、如何申诉。动态调整体系根据真实数据、居民反馈和审计结果在后台迭代，但任何新用途、新领域和新权利连接都必须重新授权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复杂度本身是安全风险。无法在合理成本内被参与者理解、被治理者维护、被独立机构审计的贡献机制，不得正式运行，只能停留在影子记录、人工抽样或有限验证阶段。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第十章 向善智能：支持国家安全、发展与持续的另一条能力路径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一、人工智能带来的新能力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人员与个体资源池的全域可达、可用与自主流动，仅靠传统行政协调和市场配置无法实现。人工智能带来新的感知、连接、匹配、推演、协同和能力放大，使知识、专业能力、公共服务和风险判断可以跨越地域抵达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二、支持国家安全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向善智能可以帮助国家提前识别粮食、能源、金融、公共卫生、供应链、基础设施和网络风险，模拟跨域传导，降低军事与政策误判，提升灾害响应和最低必要国际协同。安全不再只通过增加对他国的压制能力获得，也可以通过提高自身和共同系统发现、理解、阻断风险的能力获得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三、支持国家发展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人工智能可以把教育、医疗、农业、工程、管理、法律和科研能力低成本地延伸到资源不足地区，帮助城市和国家看清自身拥有什么、缺少什么、适合发展什么。它不是替国家给出统一答案，而是增强国家形成自己答案的能力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四、支持国家持续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智能系统可以推演资源消耗、人口、财政、产业、生态和技术政策的长期后果，识别短期增长背后的未来代价，帮助国家在安全和发展中保留下一代的选择。持续不是发展之后再考虑的附加目标，而是对安全与发展的时间检验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五、向善的制度化边界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1. </w:t>
      </w:r>
      <w:r>
        <w:rPr>
          <w:rFonts w:ascii="Noto Serif CJK SC" w:hAnsi="Noto Serif CJK SC" w:eastAsia="Noto Serif CJK SC"/>
          <w:b w:val="0"/>
          <w:sz w:val="22"/>
        </w:rPr>
        <w:t>人类终审：不可逆、高影响和权利事项由人类承担最终判断。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2. </w:t>
      </w:r>
      <w:r>
        <w:rPr>
          <w:rFonts w:ascii="Noto Serif CJK SC" w:hAnsi="Noto Serif CJK SC" w:eastAsia="Noto Serif CJK SC"/>
          <w:b w:val="0"/>
          <w:sz w:val="22"/>
        </w:rPr>
        <w:t>数据主权：国家、组织和个人保有核心数据与授权控制。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3. </w:t>
      </w:r>
      <w:r>
        <w:rPr>
          <w:rFonts w:ascii="Noto Serif CJK SC" w:hAnsi="Noto Serif CJK SC" w:eastAsia="Noto Serif CJK SC"/>
          <w:b w:val="0"/>
          <w:sz w:val="22"/>
        </w:rPr>
        <w:t>反永久依赖：支持必须同时建设本地能力、迁移权和退出后的基本连续性。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4. </w:t>
      </w:r>
      <w:r>
        <w:rPr>
          <w:rFonts w:ascii="Noto Serif CJK SC" w:hAnsi="Noto Serif CJK SC" w:eastAsia="Noto Serif CJK SC"/>
          <w:b w:val="0"/>
          <w:sz w:val="22"/>
        </w:rPr>
        <w:t>可解释可审计：重要结论必须呈现来源、假设、置信度与未知。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5. </w:t>
      </w:r>
      <w:r>
        <w:rPr>
          <w:rFonts w:ascii="Noto Serif CJK SC" w:hAnsi="Noto Serif CJK SC" w:eastAsia="Noto Serif CJK SC"/>
          <w:b w:val="0"/>
          <w:sz w:val="22"/>
        </w:rPr>
        <w:t>不评价人的生命价值：AI不得以功能、贡献或行为画像决定基本权利。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6. </w:t>
      </w:r>
      <w:r>
        <w:rPr>
          <w:rFonts w:ascii="Noto Serif CJK SC" w:hAnsi="Noto Serif CJK SC" w:eastAsia="Noto Serif CJK SC"/>
          <w:b w:val="0"/>
          <w:sz w:val="22"/>
        </w:rPr>
        <w:t>安全能力普惠：重大共同风险的最低安全工具不应完全被成员资格和商业支付阻断。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第十一章 人员与个体资源池的全域可达、可用与自主流动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一、人不是资源，个体资源池属于人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个体资源池包括个人依法拥有或控制的时间、知识、技能、经验、判断、创造、照护、关系协作能力、作品、数据、设备、空间、资金以及AI能力外延。人不是资源池中的资源；个体资源池属于个人，并服务于个人自由、发展与意义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二、全域可达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个人能够在合法、安全和能力边界内，接近更广泛的教育、医疗、工作、创造、照护、公共参与和生活场景。可达不等于取消国家、城市和组织边界，而是降低不必要的信息、资格、语言和制度障碍。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三、全域可用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进入新的场景之后，个人能够依法使用相应公共资源，也能继续使用自己的资格、数据、成果、工具和既有权益。资源可用具有双向性：共同体资源向真实需求抵达；个人能力和合法资源在本人授权下进入真实使用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四、自主流动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自主流动包括人的流动、能力的跨空间抵达和资源向人的流动，也包括不流动、拒绝匹配、撤回授权、退出和重新选择的权利。系统可以推荐，不得替个人决定生命路径。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五、个体资源池的防火墙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1. </w:t>
      </w:r>
      <w:r>
        <w:rPr>
          <w:rFonts w:ascii="Noto Serif CJK SC" w:hAnsi="Noto Serif CJK SC" w:eastAsia="Noto Serif CJK SC"/>
          <w:b w:val="0"/>
          <w:sz w:val="22"/>
        </w:rPr>
        <w:t>个人控制、分域保存、按需显现、逐项授权、可撤回。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2. </w:t>
      </w:r>
      <w:r>
        <w:rPr>
          <w:rFonts w:ascii="Noto Serif CJK SC" w:hAnsi="Noto Serif CJK SC" w:eastAsia="Noto Serif CJK SC"/>
          <w:b w:val="0"/>
          <w:sz w:val="22"/>
        </w:rPr>
        <w:t>不建立统一人格总分，不默认跨域关联。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3. </w:t>
      </w:r>
      <w:r>
        <w:rPr>
          <w:rFonts w:ascii="Noto Serif CJK SC" w:hAnsi="Noto Serif CJK SC" w:eastAsia="Noto Serif CJK SC"/>
          <w:b w:val="0"/>
          <w:sz w:val="22"/>
        </w:rPr>
        <w:t>敏感数据默认不进入资源池，允许选择性披露与匿名提供。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4. </w:t>
      </w:r>
      <w:r>
        <w:rPr>
          <w:rFonts w:ascii="Noto Serif CJK SC" w:hAnsi="Noto Serif CJK SC" w:eastAsia="Noto Serif CJK SC"/>
          <w:b w:val="0"/>
          <w:sz w:val="22"/>
        </w:rPr>
        <w:t>基本权利不取决于个人资源池规模，不因拒绝分享受到惩罚。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5. </w:t>
      </w:r>
      <w:r>
        <w:rPr>
          <w:rFonts w:ascii="Noto Serif CJK SC" w:hAnsi="Noto Serif CJK SC" w:eastAsia="Noto Serif CJK SC"/>
          <w:b w:val="0"/>
          <w:sz w:val="22"/>
        </w:rPr>
        <w:t>个人资源池不被城市或国家资源池吞并，只通过授权接口连接。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第十二章 权利、防火墙与公众承诺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一、基础权利与贡献彻底隔离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基础生存、人格尊严、法律平等、申诉、隐私和退出，不由贡献值决定。贡献低、没有可记录贡献、不愿参与或处于需要照护状态的人，不得因此失去基本生活和公共服务。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二、贡献值八项防火墙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1. </w:t>
      </w:r>
      <w:r>
        <w:rPr>
          <w:rFonts w:ascii="Noto Serif CJK SC" w:hAnsi="Noto Serif CJK SC" w:eastAsia="Noto Serif CJK SC"/>
          <w:b w:val="0"/>
          <w:sz w:val="22"/>
        </w:rPr>
        <w:t>不评价人格，不形成“好人—坏人”总分。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2. </w:t>
      </w:r>
      <w:r>
        <w:rPr>
          <w:rFonts w:ascii="Noto Serif CJK SC" w:hAnsi="Noto Serif CJK SC" w:eastAsia="Noto Serif CJK SC"/>
          <w:b w:val="0"/>
          <w:sz w:val="22"/>
        </w:rPr>
        <w:t>分领域记录，不默认跨领域调用。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3. </w:t>
      </w:r>
      <w:r>
        <w:rPr>
          <w:rFonts w:ascii="Noto Serif CJK SC" w:hAnsi="Noto Serif CJK SC" w:eastAsia="Noto Serif CJK SC"/>
          <w:b w:val="0"/>
          <w:sz w:val="22"/>
        </w:rPr>
        <w:t>用途限定，新用途必须重新授权。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4. </w:t>
      </w:r>
      <w:r>
        <w:rPr>
          <w:rFonts w:ascii="Noto Serif CJK SC" w:hAnsi="Noto Serif CJK SC" w:eastAsia="Noto Serif CJK SC"/>
          <w:b w:val="0"/>
          <w:sz w:val="22"/>
        </w:rPr>
        <w:t>不得兑换文明表决权、公民身份和基本生存资格。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5. </w:t>
      </w:r>
      <w:r>
        <w:rPr>
          <w:rFonts w:ascii="Noto Serif CJK SC" w:hAnsi="Noto Serif CJK SC" w:eastAsia="Noto Serif CJK SC"/>
          <w:b w:val="0"/>
          <w:sz w:val="22"/>
        </w:rPr>
        <w:t>不得用于惩罚性治理、商业歧视和公共服务排斥。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6. </w:t>
      </w:r>
      <w:r>
        <w:rPr>
          <w:rFonts w:ascii="Noto Serif CJK SC" w:hAnsi="Noto Serif CJK SC" w:eastAsia="Noto Serif CJK SC"/>
          <w:b w:val="0"/>
          <w:sz w:val="22"/>
        </w:rPr>
        <w:t>贡献事实账与意义回应记录分离。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7. </w:t>
      </w:r>
      <w:r>
        <w:rPr>
          <w:rFonts w:ascii="Noto Serif CJK SC" w:hAnsi="Noto Serif CJK SC" w:eastAsia="Noto Serif CJK SC"/>
          <w:b w:val="0"/>
          <w:sz w:val="22"/>
        </w:rPr>
        <w:t>造假处置针对具体记录和行为，不永久剥夺人的参与资格。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8. </w:t>
      </w:r>
      <w:r>
        <w:rPr>
          <w:rFonts w:ascii="Noto Serif CJK SC" w:hAnsi="Noto Serif CJK SC" w:eastAsia="Noto Serif CJK SC"/>
          <w:b w:val="0"/>
          <w:sz w:val="22"/>
        </w:rPr>
        <w:t>系统复杂度超过可理解、可维护、可审计上限时停止运行。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三、重大事项的人类表决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涉及不可逆技术部署、产权基本规则、基础生存保障重大改变、相位切换和全体根本权益的事项，必须回到一人一票。专业委员会负责呈现事实、方案和后果，不得代替公众作出文明航道决定。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四、公众承诺先于参与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实验区获得信任的第一制度，不是平台上线，而是公开承诺：不拿走财产，不把人变成分数，不让AI替人决定命运，不让任何人因贡献低失去基本生存，不让紧急权成为永久权力，任何重大规则可审计、可申诉、可纠错、可暂停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第十三章 技术、数据、指标与证据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一、技术在建议阶段只需明确能力与边界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现阶段不需要预先定型所有平台和算法。需要明确的是最低能力：资源登记与授权、供需匹配、贡献事实核验、AGI辅助推演、公民参与、审计追踪、申诉和回滚。具体技术路线应在立项后通过多方案比较确定，避免平台先行反过来锁定制度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二、数据治理原则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1. </w:t>
      </w:r>
      <w:r>
        <w:rPr>
          <w:rFonts w:ascii="Noto Serif CJK SC" w:hAnsi="Noto Serif CJK SC" w:eastAsia="Noto Serif CJK SC"/>
          <w:b w:val="0"/>
          <w:sz w:val="22"/>
        </w:rPr>
        <w:t>最小化：只收集完成明确目的所必需的数据。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2. </w:t>
      </w:r>
      <w:r>
        <w:rPr>
          <w:rFonts w:ascii="Noto Serif CJK SC" w:hAnsi="Noto Serif CJK SC" w:eastAsia="Noto Serif CJK SC"/>
          <w:b w:val="0"/>
          <w:sz w:val="22"/>
        </w:rPr>
        <w:t>分域与分级：不同数据、用途和主体采用不同权限。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3. </w:t>
      </w:r>
      <w:r>
        <w:rPr>
          <w:rFonts w:ascii="Noto Serif CJK SC" w:hAnsi="Noto Serif CJK SC" w:eastAsia="Noto Serif CJK SC"/>
          <w:b w:val="0"/>
          <w:sz w:val="22"/>
        </w:rPr>
        <w:t>用途限定：不得将贡献、照护和资源数据挪作人格评价。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4. </w:t>
      </w:r>
      <w:r>
        <w:rPr>
          <w:rFonts w:ascii="Noto Serif CJK SC" w:hAnsi="Noto Serif CJK SC" w:eastAsia="Noto Serif CJK SC"/>
          <w:b w:val="0"/>
          <w:sz w:val="22"/>
        </w:rPr>
        <w:t>可撤回：个人授权可停止，系统必须说明撤回后的影响。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5. </w:t>
      </w:r>
      <w:r>
        <w:rPr>
          <w:rFonts w:ascii="Noto Serif CJK SC" w:hAnsi="Noto Serif CJK SC" w:eastAsia="Noto Serif CJK SC"/>
          <w:b w:val="0"/>
          <w:sz w:val="22"/>
        </w:rPr>
        <w:t>可追责：访问、调用、修改、导出全部留痕。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6. </w:t>
      </w:r>
      <w:r>
        <w:rPr>
          <w:rFonts w:ascii="Noto Serif CJK SC" w:hAnsi="Noto Serif CJK SC" w:eastAsia="Noto Serif CJK SC"/>
          <w:b w:val="0"/>
          <w:sz w:val="22"/>
        </w:rPr>
        <w:t>独立托管：关键实验数据应由独立主体保全，防止政绩化美化。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7. </w:t>
      </w:r>
      <w:r>
        <w:rPr>
          <w:rFonts w:ascii="Noto Serif CJK SC" w:hAnsi="Noto Serif CJK SC" w:eastAsia="Noto Serif CJK SC"/>
          <w:b w:val="0"/>
          <w:sz w:val="22"/>
        </w:rPr>
        <w:t>失败永久记录：运行可以回滚，历史证据不得删除。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三、指标体系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rPr>
          <w:tblHeader w:val="true"/>
        </w:trPr>
        <w:tc>
          <w:tcPr>
            <w:tcW w:type="dxa" w:w="170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指标层</w:t>
            </w:r>
          </w:p>
        </w:tc>
        <w:tc>
          <w:tcPr>
            <w:tcW w:type="dxa" w:w="4139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主要指标</w:t>
            </w:r>
          </w:p>
        </w:tc>
        <w:tc>
          <w:tcPr>
            <w:tcW w:type="dxa" w:w="2948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作用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元目标</w:t>
            </w:r>
          </w:p>
        </w:tc>
        <w:tc>
          <w:tcPr>
            <w:tcW w:type="dxa" w:w="4139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生存无忧、生活幸福、生命意义</w:t>
            </w:r>
          </w:p>
        </w:tc>
        <w:tc>
          <w:tcPr>
            <w:tcW w:type="dxa" w:w="294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直接判断实验是否让人活得更好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过程能力</w:t>
            </w:r>
          </w:p>
        </w:tc>
        <w:tc>
          <w:tcPr>
            <w:tcW w:type="dxa" w:w="4139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资源有效使用、贡献识别、公共服务、三权健康、AGI安全、财政持续</w:t>
            </w:r>
          </w:p>
        </w:tc>
        <w:tc>
          <w:tcPr>
            <w:tcW w:type="dxa" w:w="294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解释结果如何产生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权利与风险</w:t>
            </w:r>
          </w:p>
        </w:tc>
        <w:tc>
          <w:tcPr>
            <w:tcW w:type="dxa" w:w="4139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申诉、撤回、退出、误判纠正、数据滥用、群体净损失</w:t>
            </w:r>
          </w:p>
        </w:tc>
        <w:tc>
          <w:tcPr>
            <w:tcW w:type="dxa" w:w="294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防止好结果掩盖权利损害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长期与外部</w:t>
            </w:r>
          </w:p>
        </w:tc>
        <w:tc>
          <w:tcPr>
            <w:tcW w:type="dxa" w:w="4139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弱节点能力增长、依赖下降、跨制度可验证、社会信任</w:t>
            </w:r>
          </w:p>
        </w:tc>
        <w:tc>
          <w:tcPr>
            <w:tcW w:type="dxa" w:w="2948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判断文明高地能否持续与被学习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四、证据纪律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实验结果必须同时呈现支持证据、反例、失败、少数意见和不确定性。不能以单一满意度、平台使用量、媒体传播或短期GDP变化证明文明跃迁。城市级社会实验应采用历史基线、同类城市比较、分阶段上线、过程追踪、反事实分析和独立质性评审，不机械套用无法适配社会系统的单一实验方法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第十四章 政治启动、制度承载与风险分担链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一、不能依赖单一政治推动者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个人推动可以打开入口，却无法独自承担法律授权、部门协调、财政责任、数据责任、舆论风险、实验失败和跨任期连续性。国家级实验必须形成一条能够跨越个人、部门和任期的制度承载链。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二、五个必要位置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rPr>
          <w:tblHeader w:val="true"/>
        </w:trPr>
        <w:tc>
          <w:tcPr>
            <w:tcW w:type="dxa" w:w="170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位置</w:t>
            </w:r>
          </w:p>
        </w:tc>
        <w:tc>
          <w:tcPr>
            <w:tcW w:type="dxa" w:w="4195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核心责任</w:t>
            </w:r>
          </w:p>
        </w:tc>
        <w:tc>
          <w:tcPr>
            <w:tcW w:type="dxa" w:w="289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缺失后果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政治发起者</w:t>
            </w:r>
          </w:p>
        </w:tc>
        <w:tc>
          <w:tcPr>
            <w:tcW w:type="dxa" w:w="419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把议题送入国家或高级别改革程序，承担首次启动风险</w:t>
            </w:r>
          </w:p>
        </w:tc>
        <w:tc>
          <w:tcPr>
            <w:tcW w:type="dxa" w:w="289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没有入口，研究长期停留在民间文本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行政承载者</w:t>
            </w:r>
          </w:p>
        </w:tc>
        <w:tc>
          <w:tcPr>
            <w:tcW w:type="dxa" w:w="419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以真实城市、人口、资源和公共服务把授权转为运行</w:t>
            </w:r>
          </w:p>
        </w:tc>
        <w:tc>
          <w:tcPr>
            <w:tcW w:type="dxa" w:w="289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实验退化为概念项目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法律与财政保障者</w:t>
            </w:r>
          </w:p>
        </w:tc>
        <w:tc>
          <w:tcPr>
            <w:tcW w:type="dxa" w:w="419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明确试验边界、失败成本、权利补救和持续资金</w:t>
            </w:r>
          </w:p>
        </w:tc>
        <w:tc>
          <w:tcPr>
            <w:tcW w:type="dxa" w:w="289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责任悬空，风险转嫁居民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专业实施共同体</w:t>
            </w:r>
          </w:p>
        </w:tc>
        <w:tc>
          <w:tcPr>
            <w:tcW w:type="dxa" w:w="419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承担制度、技术、数据、审计、人心与意义研究</w:t>
            </w:r>
          </w:p>
        </w:tc>
        <w:tc>
          <w:tcPr>
            <w:tcW w:type="dxa" w:w="289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政治意愿代替专业能力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独立核验与公众合法性承载者</w:t>
            </w:r>
          </w:p>
        </w:tc>
        <w:tc>
          <w:tcPr>
            <w:tcW w:type="dxa" w:w="419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保护异议、申诉、退出和失败公开</w:t>
            </w:r>
          </w:p>
        </w:tc>
        <w:tc>
          <w:tcPr>
            <w:tcW w:type="dxa" w:w="289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实验退化为政绩工程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三、风险分担原则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试验失败成本不能主要由居民、弱势群体、基层部门或单一城市承担。国家级授权必须同时明确财政缓冲、法律保护、数据补救、职业与公共服务连续性，以及机制回滚后的权益处理。政治决断可以承担不确定性，但不能把不确定性转嫁给没有选择权的人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四、反政绩化与跨任期连续性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实验目标、基线、失败条件和公开报告必须在启动前固定；管理者更替不能删除失败数据、改变指标口径或自动终止居民权利。重大方向由制度而不是个人承载，个人贡献可以被记住，但项目不得依附个人存在。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第十五章 文明高地的国内真实性与国际可信度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一、首先证明真实，而不是首先证明国际化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实验可以由中国自主启动，不必等待外国共同设计或共同出资。把外国参与设为启动条件，会形成新的死结：没有事实，对方不愿参与；没有对方参与，实验又无法启动。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二、四层可信度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59"/>
        <w:gridCol w:w="4759"/>
      </w:tblGrid>
      <w:tr>
        <w:trPr>
          <w:tblHeader w:val="true"/>
        </w:trPr>
        <w:tc>
          <w:tcPr>
            <w:tcW w:type="dxa" w:w="1984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层级</w:t>
            </w:r>
          </w:p>
        </w:tc>
        <w:tc>
          <w:tcPr>
            <w:tcW w:type="dxa" w:w="6803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8"/>
              </w:rPr>
              <w:t>可信度来源</w:t>
            </w:r>
          </w:p>
        </w:tc>
      </w:tr>
      <w:tr>
        <w:tc>
          <w:tcPr>
            <w:tcW w:type="dxa" w:w="198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国内真实性</w:t>
            </w:r>
          </w:p>
        </w:tc>
        <w:tc>
          <w:tcPr>
            <w:tcW w:type="dxa" w:w="6803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真实运行、居民体验、申诉、退出、失败和财政数据均可追溯</w:t>
            </w:r>
          </w:p>
        </w:tc>
      </w:tr>
      <w:tr>
        <w:tc>
          <w:tcPr>
            <w:tcW w:type="dxa" w:w="198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独立可核验性</w:t>
            </w:r>
          </w:p>
        </w:tc>
        <w:tc>
          <w:tcPr>
            <w:tcW w:type="dxa" w:w="6803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国内外研究者、专业机构、批评者和非成员可访问必要证据</w:t>
            </w:r>
          </w:p>
        </w:tc>
      </w:tr>
      <w:tr>
        <w:tc>
          <w:tcPr>
            <w:tcW w:type="dxa" w:w="198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国际观察与参与</w:t>
            </w:r>
          </w:p>
        </w:tc>
        <w:tc>
          <w:tcPr>
            <w:tcW w:type="dxa" w:w="6803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逐步开放观察员、联合课题、数据复核、单项机制共试和国际审计节点</w:t>
            </w:r>
          </w:p>
        </w:tc>
      </w:tr>
      <w:tr>
        <w:tc>
          <w:tcPr>
            <w:tcW w:type="dxa" w:w="198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跨制度复制</w:t>
            </w:r>
          </w:p>
        </w:tc>
        <w:tc>
          <w:tcPr>
            <w:tcW w:type="dxa" w:w="6803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8"/>
              </w:rPr>
              <w:t>不同法律、产权、政治和文化体系可重构底层原则，而非照搬中国形式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三、实验区不输出单一制度模板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文明高地最终要证明的不是“只有一种中国式实现”，而是资源有效使用、权利边界、向善智能、相位渐进、全员无损和人类终审等底层原则，能够在不同制度环境中形成不同实现版本。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四、高地效应的真正来源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高地效应不是传播成功，而是事实形成吸引力：参与者获得真实安全、生活改善和意义确认；未参与者不受惩罚；外部主体能够核验；退出者能够说明问题；失败不被隐藏。方案可以赢得讨论，事实才能赢得信任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第十六章 阶段路线图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第0期：国家级议题论证期｜启动期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固定核心判断、三大元目标、相位纪律和权利底线；完成国家级建议书、候选城市标准、法律财政初评、风险报告与研究机制方案。交付结果是“是否值得进入国家级研究”的决策依据。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第1期：研究与承载机制建立期｜启动期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建立国家级研究中心、研究院或跨部门联合机制；形成制度、技术、审计、人心意义、法律财政专家共同体；启动候选城市基线调查和公众沟通。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第2期：候选区预研与底座原型期｜启动期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建立资源目录、授权接口、基础服务底线、贡献事实影子记录、AGI辅助原型、审计与申诉原型。所有参与自愿，不形成强制义务，不以原型结果改变基本权利。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第2.5期：最小闭环验证期｜初期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在大学城、产业园、医疗养老片区或完整公共服务单元中，验证“资源授权与共享＋客观贡献记录＋AGI辅助调度＋审计退出”的最小闭环。优先测试可客观锚定的资源和行为，不急于覆盖高隐私、高争议领域。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第3期：局部完整运行期｜初期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在城市内部的完整片区同步运行六大系统，不拆散文明结构。运行周期应足以观察规则学习、利益反应、权力扩张、居民适应和长期财政影响。退出者不受减损，失败可回滚。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第4期：城市级扩展期｜过渡期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只有当局部运行证明三大元目标改善、无损边界成立、财政与技术可持续、公众信任达到要求，才进入城市级扩展。扩展不是行政命令，而是由事实形成吸引、由公众和制度共同决定。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第5期：文明高地成型期｜实验区稳定期入口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形成可被外部观察、比较、质疑和学习的城市级样板。此处的“稳定期”仅指实验区尺度的稳定运行，不代表整个国家或人类文明已经进入稳定期。任何全局产权、资源或治理规则仍须另行论证。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第十七章 风险、误读、停止与回滚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一、主要风险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rPr>
          <w:tblHeader w:val="true"/>
        </w:trPr>
        <w:tc>
          <w:tcPr>
            <w:tcW w:type="dxa" w:w="153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6"/>
              </w:rPr>
              <w:t>风险</w:t>
            </w:r>
          </w:p>
        </w:tc>
        <w:tc>
          <w:tcPr>
            <w:tcW w:type="dxa" w:w="3175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6"/>
              </w:rPr>
              <w:t>表现</w:t>
            </w:r>
          </w:p>
        </w:tc>
        <w:tc>
          <w:tcPr>
            <w:tcW w:type="dxa" w:w="4422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6"/>
              </w:rPr>
              <w:t>核心防御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产权误读</w:t>
            </w:r>
          </w:p>
        </w:tc>
        <w:tc>
          <w:tcPr>
            <w:tcW w:type="dxa" w:w="317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被理解为没收、征用或启动期强制公有化</w:t>
            </w:r>
          </w:p>
        </w:tc>
        <w:tc>
          <w:tcPr>
            <w:tcW w:type="dxa" w:w="442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启动期只做自愿授权与可撤回使用；稳定期图景明确标注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社会评分化</w:t>
            </w:r>
          </w:p>
        </w:tc>
        <w:tc>
          <w:tcPr>
            <w:tcW w:type="dxa" w:w="317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贡献值退化为人格总分和惩罚工具</w:t>
            </w:r>
          </w:p>
        </w:tc>
        <w:tc>
          <w:tcPr>
            <w:tcW w:type="dxa" w:w="442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分域、用途限定、基本权利隔离、禁止跨域总分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新贵族化</w:t>
            </w:r>
          </w:p>
        </w:tc>
        <w:tc>
          <w:tcPr>
            <w:tcW w:type="dxa" w:w="317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高贡献者购买全面权力</w:t>
            </w:r>
          </w:p>
        </w:tc>
        <w:tc>
          <w:tcPr>
            <w:tcW w:type="dxa" w:w="442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三权分离，文明表决一人一票，决策权不可继承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技术官僚化</w:t>
            </w:r>
          </w:p>
        </w:tc>
        <w:tc>
          <w:tcPr>
            <w:tcW w:type="dxa" w:w="317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平台、专家或AGI事实垄断方向</w:t>
            </w:r>
          </w:p>
        </w:tc>
        <w:tc>
          <w:tcPr>
            <w:tcW w:type="dxa" w:w="442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人类终审、公众质询、独立审计、可解释与停止权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资本套利</w:t>
            </w:r>
          </w:p>
        </w:tc>
        <w:tc>
          <w:tcPr>
            <w:tcW w:type="dxa" w:w="317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以作秀、刷数据、制造问题后修复获取贡献</w:t>
            </w:r>
          </w:p>
        </w:tc>
        <w:tc>
          <w:tcPr>
            <w:tcW w:type="dxa" w:w="442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正负分离、后向追溯、长期结果与反套利审计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政绩化</w:t>
            </w:r>
          </w:p>
        </w:tc>
        <w:tc>
          <w:tcPr>
            <w:tcW w:type="dxa" w:w="317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只展示成功，改变指标，隐藏失败</w:t>
            </w:r>
          </w:p>
        </w:tc>
        <w:tc>
          <w:tcPr>
            <w:tcW w:type="dxa" w:w="442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启动前固定基线，独立数据托管，失败永久记录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数据滥用</w:t>
            </w:r>
          </w:p>
        </w:tc>
        <w:tc>
          <w:tcPr>
            <w:tcW w:type="dxa" w:w="317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贡献、照护和资源数据用于监控与歧视</w:t>
            </w:r>
          </w:p>
        </w:tc>
        <w:tc>
          <w:tcPr>
            <w:tcW w:type="dxa" w:w="442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最小化、分域、可撤回、访问留痕与法律责任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复杂度失控</w:t>
            </w:r>
          </w:p>
        </w:tc>
        <w:tc>
          <w:tcPr>
            <w:tcW w:type="dxa" w:w="317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制度过于精密，参与者无法理解，审计无法完成</w:t>
            </w:r>
          </w:p>
        </w:tc>
        <w:tc>
          <w:tcPr>
            <w:tcW w:type="dxa" w:w="442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可审计简化原则，超过治理成本上限即停止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群体净损失</w:t>
            </w:r>
          </w:p>
        </w:tc>
        <w:tc>
          <w:tcPr>
            <w:tcW w:type="dxa" w:w="317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以某群体损失作为方案前提</w:t>
            </w:r>
          </w:p>
        </w:tc>
        <w:tc>
          <w:tcPr>
            <w:tcW w:type="dxa" w:w="442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全员无损审查与对立死结退回重设计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紧急权永久化</w:t>
            </w:r>
          </w:p>
        </w:tc>
        <w:tc>
          <w:tcPr>
            <w:tcW w:type="dxa" w:w="317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以安全和危机为由绕过权利边界</w:t>
            </w:r>
          </w:p>
        </w:tc>
        <w:tc>
          <w:tcPr>
            <w:tcW w:type="dxa" w:w="442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明确触发、期限、复核、自动失效与事后公开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国际可信度不足</w:t>
            </w:r>
          </w:p>
        </w:tc>
        <w:tc>
          <w:tcPr>
            <w:tcW w:type="dxa" w:w="317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被视为只在单一制度下成立的内部样板</w:t>
            </w:r>
          </w:p>
        </w:tc>
        <w:tc>
          <w:tcPr>
            <w:tcW w:type="dxa" w:w="442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独立核验、失败公开、跨制度原则测试</w:t>
            </w:r>
          </w:p>
        </w:tc>
      </w:tr>
      <w:tr>
        <w:tc>
          <w:tcPr>
            <w:tcW w:type="dxa" w:w="15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单点政治依赖</w:t>
            </w:r>
          </w:p>
        </w:tc>
        <w:tc>
          <w:tcPr>
            <w:tcW w:type="dxa" w:w="317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发起者离任后项目停摆或变形</w:t>
            </w:r>
          </w:p>
        </w:tc>
        <w:tc>
          <w:tcPr>
            <w:tcW w:type="dxa" w:w="442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6"/>
              </w:rPr>
              <w:t>制度承载链、跨任期规则与公众权利固定</w:t>
            </w:r>
          </w:p>
        </w:tc>
      </w:tr>
    </w:tbl>
    <w:p>
      <w:pPr>
        <w:spacing w:after="0"/>
      </w:pP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二、刚性停止条件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1. </w:t>
      </w:r>
      <w:r>
        <w:rPr>
          <w:rFonts w:ascii="Noto Serif CJK SC" w:hAnsi="Noto Serif CJK SC" w:eastAsia="Noto Serif CJK SC"/>
          <w:b w:val="0"/>
          <w:sz w:val="22"/>
        </w:rPr>
        <w:t>基础权利与贡献值发生实质挂钩。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2. </w:t>
      </w:r>
      <w:r>
        <w:rPr>
          <w:rFonts w:ascii="Noto Serif CJK SC" w:hAnsi="Noto Serif CJK SC" w:eastAsia="Noto Serif CJK SC"/>
          <w:b w:val="0"/>
          <w:sz w:val="22"/>
        </w:rPr>
        <w:t>个人被建立不可申诉的统一人格评分。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3. </w:t>
      </w:r>
      <w:r>
        <w:rPr>
          <w:rFonts w:ascii="Noto Serif CJK SC" w:hAnsi="Noto Serif CJK SC" w:eastAsia="Noto Serif CJK SC"/>
          <w:b w:val="0"/>
          <w:sz w:val="22"/>
        </w:rPr>
        <w:t>出现强制产权或使用权变更，超出明确授权。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4. </w:t>
      </w:r>
      <w:r>
        <w:rPr>
          <w:rFonts w:ascii="Noto Serif CJK SC" w:hAnsi="Noto Serif CJK SC" w:eastAsia="Noto Serif CJK SC"/>
          <w:b w:val="0"/>
          <w:sz w:val="22"/>
        </w:rPr>
        <w:t>AGI对高影响事项形成不可复核的事实决定权。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5. </w:t>
      </w:r>
      <w:r>
        <w:rPr>
          <w:rFonts w:ascii="Noto Serif CJK SC" w:hAnsi="Noto Serif CJK SC" w:eastAsia="Noto Serif CJK SC"/>
          <w:b w:val="0"/>
          <w:sz w:val="22"/>
        </w:rPr>
        <w:t>退出者受到惩罚或基本权益减损。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6. </w:t>
      </w:r>
      <w:r>
        <w:rPr>
          <w:rFonts w:ascii="Noto Serif CJK SC" w:hAnsi="Noto Serif CJK SC" w:eastAsia="Noto Serif CJK SC"/>
          <w:b w:val="0"/>
          <w:sz w:val="22"/>
        </w:rPr>
        <w:t>某一群体的净损失成为方案继续运行的必要条件。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7. </w:t>
      </w:r>
      <w:r>
        <w:rPr>
          <w:rFonts w:ascii="Noto Serif CJK SC" w:hAnsi="Noto Serif CJK SC" w:eastAsia="Noto Serif CJK SC"/>
          <w:b w:val="0"/>
          <w:sz w:val="22"/>
        </w:rPr>
        <w:t>紧急权限超过期限且未通过独立复核。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8. </w:t>
      </w:r>
      <w:r>
        <w:rPr>
          <w:rFonts w:ascii="Noto Serif CJK SC" w:hAnsi="Noto Serif CJK SC" w:eastAsia="Noto Serif CJK SC"/>
          <w:b w:val="0"/>
          <w:sz w:val="22"/>
        </w:rPr>
        <w:t>关键数据被篡改、删除或无法独立审计。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9. </w:t>
      </w:r>
      <w:r>
        <w:rPr>
          <w:rFonts w:ascii="Noto Serif CJK SC" w:hAnsi="Noto Serif CJK SC" w:eastAsia="Noto Serif CJK SC"/>
          <w:b w:val="0"/>
          <w:sz w:val="22"/>
        </w:rPr>
        <w:t>财政风险可能危及基础公共服务连续性。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10. </w:t>
      </w:r>
      <w:r>
        <w:rPr>
          <w:rFonts w:ascii="Noto Serif CJK SC" w:hAnsi="Noto Serif CJK SC" w:eastAsia="Noto Serif CJK SC"/>
          <w:b w:val="0"/>
          <w:sz w:val="22"/>
        </w:rPr>
        <w:t>管理机构拒绝公开重大失败和少数意见。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三、回滚原则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停止不等于抹去。运行系统可以回到已验证的安全版本，受影响主体必须获得通知、数据迁移、权益补救和申诉通道；失败版本、决策过程和责任记录必须永久保存。文明跃迁不要求不犯错，而要求错误能够被看见、停止和修正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第十八章 组织架构与近期工作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一、建议阶段的组织结构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现阶段不宜直接设立完整实验区管理机构。建议先建立国家级文明跃迁研究中心、研究院或跨部门联合课题机制，下设战略与制度、法律财政、技术与数据、社会与人心、独立评审五类工作组。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二、进入实验授权后的组织设想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获得正式授权后，可考虑“一办、四委、三平台”：实验区办公室负责综合协调；制度委员会、技术委员会、审计与伦理委员会、人心与意义委员会分别承担规则、技术、监督和目标纠偏；资源池、贡献与治理信用、AGI辅助治理与审计平台承担运行。该结构是建议方向，不在当前阶段预先锁定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三、近期文本与研究工作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1. </w:t>
      </w:r>
      <w:r>
        <w:rPr>
          <w:rFonts w:ascii="Noto Serif CJK SC" w:hAnsi="Noto Serif CJK SC" w:eastAsia="Noto Serif CJK SC"/>
          <w:b w:val="0"/>
          <w:sz w:val="22"/>
        </w:rPr>
        <w:t>形成一页决策摘要、十页决策汇报版和本完整建议书。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2. </w:t>
      </w:r>
      <w:r>
        <w:rPr>
          <w:rFonts w:ascii="Noto Serif CJK SC" w:hAnsi="Noto Serif CJK SC" w:eastAsia="Noto Serif CJK SC"/>
          <w:b w:val="0"/>
          <w:sz w:val="22"/>
        </w:rPr>
        <w:t>完成国家级研究中心或联合课题机制的组建建议。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3. </w:t>
      </w:r>
      <w:r>
        <w:rPr>
          <w:rFonts w:ascii="Noto Serif CJK SC" w:hAnsi="Noto Serif CJK SC" w:eastAsia="Noto Serif CJK SC"/>
          <w:b w:val="0"/>
          <w:sz w:val="22"/>
        </w:rPr>
        <w:t>完成候选城市选址、基线调查和公共承载力评估框架。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4. </w:t>
      </w:r>
      <w:r>
        <w:rPr>
          <w:rFonts w:ascii="Noto Serif CJK SC" w:hAnsi="Noto Serif CJK SC" w:eastAsia="Noto Serif CJK SC"/>
          <w:b w:val="0"/>
          <w:sz w:val="22"/>
        </w:rPr>
        <w:t>开展产权、资源使用权、贡献记录、数据、财政、表决与退出的法律边界研究。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5. </w:t>
      </w:r>
      <w:r>
        <w:rPr>
          <w:rFonts w:ascii="Noto Serif CJK SC" w:hAnsi="Noto Serif CJK SC" w:eastAsia="Noto Serif CJK SC"/>
          <w:b w:val="0"/>
          <w:sz w:val="22"/>
        </w:rPr>
        <w:t>开展基础保障财政模型、资源有效使用收益和风险缓冲敏感性分析。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6. </w:t>
      </w:r>
      <w:r>
        <w:rPr>
          <w:rFonts w:ascii="Noto Serif CJK SC" w:hAnsi="Noto Serif CJK SC" w:eastAsia="Noto Serif CJK SC"/>
          <w:b w:val="0"/>
          <w:sz w:val="22"/>
        </w:rPr>
        <w:t>开展七类群体动力源、即时收益和无损保障的实证访谈。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7. </w:t>
      </w:r>
      <w:r>
        <w:rPr>
          <w:rFonts w:ascii="Noto Serif CJK SC" w:hAnsi="Noto Serif CJK SC" w:eastAsia="Noto Serif CJK SC"/>
          <w:b w:val="0"/>
          <w:sz w:val="22"/>
        </w:rPr>
        <w:t>设计最小闭环原型，但不以技术原型替代制度与公众审查。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8. </w:t>
      </w:r>
      <w:r>
        <w:rPr>
          <w:rFonts w:ascii="Noto Serif CJK SC" w:hAnsi="Noto Serif CJK SC" w:eastAsia="Noto Serif CJK SC"/>
          <w:b w:val="0"/>
          <w:sz w:val="22"/>
        </w:rPr>
        <w:t>建立独立对抗性评审、失败记录和公众回应机制。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9. </w:t>
      </w:r>
      <w:r>
        <w:rPr>
          <w:rFonts w:ascii="Noto Serif CJK SC" w:hAnsi="Noto Serif CJK SC" w:eastAsia="Noto Serif CJK SC"/>
          <w:b w:val="0"/>
          <w:sz w:val="22"/>
        </w:rPr>
        <w:t>形成文明高地国际观察、数据核验和跨制度比较方案。</w:t>
      </w:r>
    </w:p>
    <w:p>
      <w:pPr>
        <w:pStyle w:val="Heading2"/>
        <w:keepNext/>
        <w:spacing w:before="16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27"/>
        </w:rPr>
        <w:t>四、当前建议的正式决策请求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F3F6F8"/>
            <w:tcMar>
              <w:top w:w="130" w:type="dxa"/>
              <w:start w:w="220" w:type="dxa"/>
              <w:bottom w:w="130" w:type="dxa"/>
              <w:end w:w="220" w:type="dxa"/>
            </w:tcMar>
          </w:tcPr>
          <w:p>
            <w:pPr>
              <w:spacing w:line="324" w:lineRule="auto"/>
              <w:jc w:val="left"/>
            </w:pPr>
            <w:r>
              <w:rPr>
                <w:rFonts w:ascii="Noto Serif CJK SC" w:hAnsi="Noto Serif CJK SC" w:eastAsia="Noto Serif CJK SC"/>
                <w:b/>
                <w:color w:val="283E4C"/>
                <w:sz w:val="22"/>
              </w:rPr>
              <w:t>建议同意将“AGI时代文明跃迁国家级综合实验”纳入国家级前瞻研究议程；同意组织跨部门、跨学科正式论证；同意对候选城市开展基线调查和预研；待法律、财政、技术、公众权利和最小闭环验证通过后，再决定是否授权城市级综合实验。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结语：让一个城市先长出未来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文明跃迁不是等待全世界同时觉醒，也不是等待完美方案从天而降。它需要一个足够完整、足够真实、足够勇敢的地方，先让未来的一部分进入运行。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一个社区只能证明善意存在，一个平台只能证明机制可用，一个企业只能证明激励有效。只有完整城市，才能证明资源、权力、技术、人心与意义能否形成另一种社会运行。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这个城市不需要宣布自己高于世界。它只需要真实做到：基础生存更安全，生活更稳定，沉睡资源进入使用，贡献不再被遗忘，强者不必通过压倒他人获得未来，普通人不再相信自己无足轻重，AGI放大人的能力与善意，权力被放进边界，失败能够停止，退出不受惩罚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当人们能够从容生活，而不是持续焦虑地挣扎；当照护、陪伴、维护和创造获得真实回应；当治理者知道创新可以启动也可以停止；当企业和资本看到长期安全并非来自永久垄断；当年轻人重新拥有未来坐标；当一个人的能力、资源和关心能够跨越边界抵达更多真实的人——那时，这个城市才开始成为文明高地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文明高地的力量，不在于命令世界跟随，而在于让世界看见：另一条路已经可以走。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附录一 建议阶段精选基础文件</w:t>
      </w:r>
    </w:p>
    <w:p>
      <w:pPr>
        <w:pStyle w:val="ListBullet"/>
        <w:spacing w:after="60" w:line="312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《文明跃迁五卷书摘要版》：提供文明跃迁理论总纲与三大元目标。</w:t>
      </w:r>
    </w:p>
    <w:p>
      <w:pPr>
        <w:pStyle w:val="ListBullet"/>
        <w:spacing w:after="60" w:line="312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《文明跃迁五卷书｜体系地图·深读版》：说明理论、制度、工程与长期未来的整体关系。</w:t>
      </w:r>
    </w:p>
    <w:p>
      <w:pPr>
        <w:pStyle w:val="ListBullet"/>
        <w:spacing w:after="60" w:line="312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《文明跃迁：AGI时代的资源池元规则》：稳定期资源关系的方向性描述，引用时必须标注相位。</w:t>
      </w:r>
    </w:p>
    <w:p>
      <w:pPr>
        <w:pStyle w:val="ListBullet"/>
        <w:spacing w:after="60" w:line="312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《文明决策原则框架_三权分离宪制_V2.0》：资源使用权、领域决策权、文明表决权的宪制边界。</w:t>
      </w:r>
    </w:p>
    <w:p>
      <w:pPr>
        <w:pStyle w:val="ListBullet"/>
        <w:spacing w:after="60" w:line="312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《相位设计指引——文明跃迁制度设计的阶段限定规则》：启动、初期、过渡、稳定的前置约束。</w:t>
      </w:r>
    </w:p>
    <w:p>
      <w:pPr>
        <w:pStyle w:val="ListBullet"/>
        <w:spacing w:after="60" w:line="312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《文明跃迁动力源识别与设计心智层指引》：不同群体真实动力与无损进入的设计基础。</w:t>
      </w:r>
    </w:p>
    <w:p>
      <w:pPr>
        <w:pStyle w:val="ListBullet"/>
        <w:spacing w:after="60" w:line="312" w:lineRule="auto"/>
        <w:keepLines/>
      </w:pPr>
      <w:r>
        <w:rPr>
          <w:rFonts w:ascii="Noto Serif CJK SC" w:hAnsi="Noto Serif CJK SC" w:eastAsia="Noto Serif CJK SC"/>
          <w:b w:val="0"/>
          <w:sz w:val="22"/>
        </w:rPr>
        <w:t>《文明跃迁荣誉体系机制设计》：非权力化公共承认与意义回应的配套方向。</w:t>
      </w:r>
    </w:p>
    <w:p>
      <w:pPr>
        <w:pStyle w:val="BodyText"/>
        <w:spacing w:before="0" w:after="120" w:line="348" w:lineRule="auto"/>
        <w:ind w:firstLine="420"/>
        <w:keepLines/>
      </w:pPr>
      <w:r>
        <w:rPr>
          <w:rFonts w:ascii="Noto Serif CJK SC" w:hAnsi="Noto Serif CJK SC" w:eastAsia="Noto Serif CJK SC"/>
          <w:b w:val="0"/>
          <w:sz w:val="22"/>
        </w:rPr>
        <w:t>其他专业协议、实验模板、独立评审、回滚、术语、版本治理和对象分析文件，现阶段统一作为内部研究储备，不列为关键决策者理解主文的前提。</w:t>
      </w: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附录二 实验区选址评估表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rPr>
          <w:tblHeader w:val="true"/>
        </w:trPr>
        <w:tc>
          <w:tcPr>
            <w:tcW w:type="dxa" w:w="2835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评估模块</w:t>
            </w:r>
          </w:p>
        </w:tc>
        <w:tc>
          <w:tcPr>
            <w:tcW w:type="dxa" w:w="1417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建议权重</w:t>
            </w:r>
          </w:p>
        </w:tc>
        <w:tc>
          <w:tcPr>
            <w:tcW w:type="dxa" w:w="4535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核心问题</w:t>
            </w:r>
          </w:p>
        </w:tc>
      </w:tr>
      <w:tr>
        <w:tc>
          <w:tcPr>
            <w:tcW w:type="dxa" w:w="28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国家与地方授权可能性</w:t>
            </w:r>
          </w:p>
        </w:tc>
        <w:tc>
          <w:tcPr>
            <w:tcW w:type="dxa" w:w="141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15%</w:t>
            </w:r>
          </w:p>
        </w:tc>
        <w:tc>
          <w:tcPr>
            <w:tcW w:type="dxa" w:w="45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是否具备跨部门协调、研究授权和稳定承载条件</w:t>
            </w:r>
          </w:p>
        </w:tc>
      </w:tr>
      <w:tr>
        <w:tc>
          <w:tcPr>
            <w:tcW w:type="dxa" w:w="28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社会系统完整度</w:t>
            </w:r>
          </w:p>
        </w:tc>
        <w:tc>
          <w:tcPr>
            <w:tcW w:type="dxa" w:w="141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15%</w:t>
            </w:r>
          </w:p>
        </w:tc>
        <w:tc>
          <w:tcPr>
            <w:tcW w:type="dxa" w:w="45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居民、产业、教育、医疗、能源、交通、社区是否形成闭环</w:t>
            </w:r>
          </w:p>
        </w:tc>
      </w:tr>
      <w:tr>
        <w:tc>
          <w:tcPr>
            <w:tcW w:type="dxa" w:w="28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资源池潜力</w:t>
            </w:r>
          </w:p>
        </w:tc>
        <w:tc>
          <w:tcPr>
            <w:tcW w:type="dxa" w:w="141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15%</w:t>
            </w:r>
          </w:p>
        </w:tc>
        <w:tc>
          <w:tcPr>
            <w:tcW w:type="dxa" w:w="45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是否存在可发现、可授权、可调度的真实资源与能力</w:t>
            </w:r>
          </w:p>
        </w:tc>
      </w:tr>
      <w:tr>
        <w:tc>
          <w:tcPr>
            <w:tcW w:type="dxa" w:w="28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数据治理基础</w:t>
            </w:r>
          </w:p>
        </w:tc>
        <w:tc>
          <w:tcPr>
            <w:tcW w:type="dxa" w:w="141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10%</w:t>
            </w:r>
          </w:p>
        </w:tc>
        <w:tc>
          <w:tcPr>
            <w:tcW w:type="dxa" w:w="45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数据合法性、质量、接口和审计能力如何</w:t>
            </w:r>
          </w:p>
        </w:tc>
      </w:tr>
      <w:tr>
        <w:tc>
          <w:tcPr>
            <w:tcW w:type="dxa" w:w="28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AGI应用与本地能力</w:t>
            </w:r>
          </w:p>
        </w:tc>
        <w:tc>
          <w:tcPr>
            <w:tcW w:type="dxa" w:w="141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10%</w:t>
            </w:r>
          </w:p>
        </w:tc>
        <w:tc>
          <w:tcPr>
            <w:tcW w:type="dxa" w:w="45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是否具备本地部署、人才、安全与人工复核条件</w:t>
            </w:r>
          </w:p>
        </w:tc>
      </w:tr>
      <w:tr>
        <w:tc>
          <w:tcPr>
            <w:tcW w:type="dxa" w:w="28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公共服务与财政承载</w:t>
            </w:r>
          </w:p>
        </w:tc>
        <w:tc>
          <w:tcPr>
            <w:tcW w:type="dxa" w:w="141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10%</w:t>
            </w:r>
          </w:p>
        </w:tc>
        <w:tc>
          <w:tcPr>
            <w:tcW w:type="dxa" w:w="45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基础服务、财政持续和风险缓冲能力如何</w:t>
            </w:r>
          </w:p>
        </w:tc>
      </w:tr>
      <w:tr>
        <w:tc>
          <w:tcPr>
            <w:tcW w:type="dxa" w:w="28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产业与人口多样性</w:t>
            </w:r>
          </w:p>
        </w:tc>
        <w:tc>
          <w:tcPr>
            <w:tcW w:type="dxa" w:w="141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8%</w:t>
            </w:r>
          </w:p>
        </w:tc>
        <w:tc>
          <w:tcPr>
            <w:tcW w:type="dxa" w:w="45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能否承载真实利益冲突和多群体运行</w:t>
            </w:r>
          </w:p>
        </w:tc>
      </w:tr>
      <w:tr>
        <w:tc>
          <w:tcPr>
            <w:tcW w:type="dxa" w:w="28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公众参与与社会信任</w:t>
            </w:r>
          </w:p>
        </w:tc>
        <w:tc>
          <w:tcPr>
            <w:tcW w:type="dxa" w:w="141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9%</w:t>
            </w:r>
          </w:p>
        </w:tc>
        <w:tc>
          <w:tcPr>
            <w:tcW w:type="dxa" w:w="45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是否能够开展真实沟通、异议、申诉与退出</w:t>
            </w:r>
          </w:p>
        </w:tc>
      </w:tr>
      <w:tr>
        <w:tc>
          <w:tcPr>
            <w:tcW w:type="dxa" w:w="28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风险外溢与回滚能力</w:t>
            </w:r>
          </w:p>
        </w:tc>
        <w:tc>
          <w:tcPr>
            <w:tcW w:type="dxa" w:w="141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8%</w:t>
            </w:r>
          </w:p>
        </w:tc>
        <w:tc>
          <w:tcPr>
            <w:tcW w:type="dxa" w:w="453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失败能否局部消化，是否具备停止和补救条件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附录三 相位与决策门简表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80"/>
        <w:gridCol w:w="2380"/>
        <w:gridCol w:w="2380"/>
        <w:gridCol w:w="2380"/>
      </w:tblGrid>
      <w:tr>
        <w:trPr>
          <w:tblHeader w:val="true"/>
        </w:trPr>
        <w:tc>
          <w:tcPr>
            <w:tcW w:type="dxa" w:w="1474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从</w:t>
            </w:r>
          </w:p>
        </w:tc>
        <w:tc>
          <w:tcPr>
            <w:tcW w:type="dxa" w:w="1587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到</w:t>
            </w:r>
          </w:p>
        </w:tc>
        <w:tc>
          <w:tcPr>
            <w:tcW w:type="dxa" w:w="4195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最低触发条件</w:t>
            </w:r>
          </w:p>
        </w:tc>
        <w:tc>
          <w:tcPr>
            <w:tcW w:type="dxa" w:w="2665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决定方式</w:t>
            </w:r>
          </w:p>
        </w:tc>
      </w:tr>
      <w:tr>
        <w:tc>
          <w:tcPr>
            <w:tcW w:type="dxa" w:w="147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议题论证</w:t>
            </w:r>
          </w:p>
        </w:tc>
        <w:tc>
          <w:tcPr>
            <w:tcW w:type="dxa" w:w="158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研究机制</w:t>
            </w:r>
          </w:p>
        </w:tc>
        <w:tc>
          <w:tcPr>
            <w:tcW w:type="dxa" w:w="419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核心命题值得国家级研究，未触发权利红线</w:t>
            </w:r>
          </w:p>
        </w:tc>
        <w:tc>
          <w:tcPr>
            <w:tcW w:type="dxa" w:w="266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国家或高级别研究授权</w:t>
            </w:r>
          </w:p>
        </w:tc>
      </w:tr>
      <w:tr>
        <w:tc>
          <w:tcPr>
            <w:tcW w:type="dxa" w:w="147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启动期</w:t>
            </w:r>
          </w:p>
        </w:tc>
        <w:tc>
          <w:tcPr>
            <w:tcW w:type="dxa" w:w="158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初期</w:t>
            </w:r>
          </w:p>
        </w:tc>
        <w:tc>
          <w:tcPr>
            <w:tcW w:type="dxa" w:w="419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自愿入口真实、无损保障成立、原型可审计可退出</w:t>
            </w:r>
          </w:p>
        </w:tc>
        <w:tc>
          <w:tcPr>
            <w:tcW w:type="dxa" w:w="266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专业审查＋公众知情＋授权主体决定</w:t>
            </w:r>
          </w:p>
        </w:tc>
      </w:tr>
      <w:tr>
        <w:tc>
          <w:tcPr>
            <w:tcW w:type="dxa" w:w="147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初期</w:t>
            </w:r>
          </w:p>
        </w:tc>
        <w:tc>
          <w:tcPr>
            <w:tcW w:type="dxa" w:w="158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过渡期</w:t>
            </w:r>
          </w:p>
        </w:tc>
        <w:tc>
          <w:tcPr>
            <w:tcW w:type="dxa" w:w="419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三大元目标改善、财政与技术可持续、无结构性群体净损失</w:t>
            </w:r>
          </w:p>
        </w:tc>
        <w:tc>
          <w:tcPr>
            <w:tcW w:type="dxa" w:w="266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完整证据披露后的一人一票文明表决</w:t>
            </w:r>
          </w:p>
        </w:tc>
      </w:tr>
      <w:tr>
        <w:tc>
          <w:tcPr>
            <w:tcW w:type="dxa" w:w="1474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过渡期</w:t>
            </w:r>
          </w:p>
        </w:tc>
        <w:tc>
          <w:tcPr>
            <w:tcW w:type="dxa" w:w="1587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实验区稳定期</w:t>
            </w:r>
          </w:p>
        </w:tc>
        <w:tc>
          <w:tcPr>
            <w:tcW w:type="dxa" w:w="419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城市级运行稳定、权利防火墙有效、失败和退出被独立验证</w:t>
            </w:r>
          </w:p>
        </w:tc>
        <w:tc>
          <w:tcPr>
            <w:tcW w:type="dxa" w:w="2665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一人一票文明表决＋国家法定程序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附录四 六大系统核心验证表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73"/>
        <w:gridCol w:w="3173"/>
        <w:gridCol w:w="3173"/>
      </w:tblGrid>
      <w:tr>
        <w:trPr>
          <w:tblHeader w:val="true"/>
        </w:trPr>
        <w:tc>
          <w:tcPr>
            <w:tcW w:type="dxa" w:w="170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系统</w:t>
            </w:r>
          </w:p>
        </w:tc>
        <w:tc>
          <w:tcPr>
            <w:tcW w:type="dxa" w:w="4082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启动期最小验证</w:t>
            </w:r>
          </w:p>
        </w:tc>
        <w:tc>
          <w:tcPr>
            <w:tcW w:type="dxa" w:w="3231"/>
            <w:shd w:fill="DCE6EC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Noto Serif CJK SC" w:hAnsi="Noto Serif CJK SC" w:eastAsia="Noto Serif CJK SC"/>
                <w:b/>
                <w:sz w:val="17"/>
              </w:rPr>
              <w:t>不得提前实施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基础生存保障</w:t>
            </w:r>
          </w:p>
        </w:tc>
        <w:tc>
          <w:tcPr>
            <w:tcW w:type="dxa" w:w="408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梳理现有服务、缺口和非羞辱性改善路径</w:t>
            </w:r>
          </w:p>
        </w:tc>
        <w:tc>
          <w:tcPr>
            <w:tcW w:type="dxa" w:w="32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未完成财政论证即承诺无限保障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资源池</w:t>
            </w:r>
          </w:p>
        </w:tc>
        <w:tc>
          <w:tcPr>
            <w:tcW w:type="dxa" w:w="408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自愿登记、时段授权、可撤回共享</w:t>
            </w:r>
          </w:p>
        </w:tc>
        <w:tc>
          <w:tcPr>
            <w:tcW w:type="dxa" w:w="32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强制归集全部使用权或改变所有权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贡献值</w:t>
            </w:r>
          </w:p>
        </w:tc>
        <w:tc>
          <w:tcPr>
            <w:tcW w:type="dxa" w:w="408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客观贡献影子记录、申诉和审计</w:t>
            </w:r>
          </w:p>
        </w:tc>
        <w:tc>
          <w:tcPr>
            <w:tcW w:type="dxa" w:w="32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与基本权利、人格等级和全域权力绑定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三权分离</w:t>
            </w:r>
          </w:p>
        </w:tc>
        <w:tc>
          <w:tcPr>
            <w:tcW w:type="dxa" w:w="408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规则模拟、权限卡和重大事项一人一票演练</w:t>
            </w:r>
          </w:p>
        </w:tc>
        <w:tc>
          <w:tcPr>
            <w:tcW w:type="dxa" w:w="32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让任何单一权力在启动期全面生效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向善智能</w:t>
            </w:r>
          </w:p>
        </w:tc>
        <w:tc>
          <w:tcPr>
            <w:tcW w:type="dxa" w:w="408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风险感知、匹配、解释、人工复核原型</w:t>
            </w:r>
          </w:p>
        </w:tc>
        <w:tc>
          <w:tcPr>
            <w:tcW w:type="dxa" w:w="32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AI单独决定资格、资源剥夺和公共方向</w:t>
            </w:r>
          </w:p>
        </w:tc>
      </w:tr>
      <w:tr>
        <w:tc>
          <w:tcPr>
            <w:tcW w:type="dxa" w:w="170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意义与人心</w:t>
            </w:r>
          </w:p>
        </w:tc>
        <w:tc>
          <w:tcPr>
            <w:tcW w:type="dxa" w:w="4082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访谈、基线、照护与关系场景验证</w:t>
            </w:r>
          </w:p>
        </w:tc>
        <w:tc>
          <w:tcPr>
            <w:tcW w:type="dxa" w:w="3231"/>
            <w:vAlign w:val="top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line="276" w:lineRule="auto"/>
              <w:jc w:val="left"/>
            </w:pPr>
            <w:r>
              <w:rPr>
                <w:rFonts w:ascii="Noto Serif CJK SC" w:hAnsi="Noto Serif CJK SC" w:eastAsia="Noto Serif CJK SC"/>
                <w:b w:val="0"/>
                <w:sz w:val="17"/>
              </w:rPr>
              <w:t>以心理数据对个人分类或强制反馈</w:t>
            </w:r>
          </w:p>
        </w:tc>
      </w:tr>
    </w:tbl>
    <w:p>
      <w:pPr>
        <w:spacing w:after="0"/>
      </w:pPr>
    </w:p>
    <w:p>
      <w:pPr>
        <w:pStyle w:val="Heading1"/>
        <w:keepNext/>
        <w:spacing w:before="240" w:after="120"/>
        <w:keepNext/>
        <w:keepNext/>
      </w:pPr>
      <w:r>
        <w:rPr>
          <w:rFonts w:ascii="Noto Serif CJK SC" w:hAnsi="Noto Serif CJK SC" w:eastAsia="Noto Serif CJK SC"/>
          <w:b/>
          <w:color w:val="1F3645"/>
          <w:sz w:val="32"/>
        </w:rPr>
        <w:t>附录五 公众承诺与禁区清单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1. </w:t>
      </w:r>
      <w:r>
        <w:rPr>
          <w:rFonts w:ascii="Noto Serif CJK SC" w:hAnsi="Noto Serif CJK SC" w:eastAsia="Noto Serif CJK SC"/>
          <w:b w:val="0"/>
          <w:sz w:val="22"/>
        </w:rPr>
        <w:t>实验区不是拿走财产。启动期资源进入以自愿授权、可撤回使用和明确边界为原则。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2. </w:t>
      </w:r>
      <w:r>
        <w:rPr>
          <w:rFonts w:ascii="Noto Serif CJK SC" w:hAnsi="Noto Serif CJK SC" w:eastAsia="Noto Serif CJK SC"/>
          <w:b w:val="0"/>
          <w:sz w:val="22"/>
        </w:rPr>
        <w:t>实验区不是把人变成分数。贡献记录不评价人格，不决定基本生存和法律地位。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3. </w:t>
      </w:r>
      <w:r>
        <w:rPr>
          <w:rFonts w:ascii="Noto Serif CJK SC" w:hAnsi="Noto Serif CJK SC" w:eastAsia="Noto Serif CJK SC"/>
          <w:b w:val="0"/>
          <w:sz w:val="22"/>
        </w:rPr>
        <w:t>基础生存是文明底线，不需要通过贡献获得。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4. </w:t>
      </w:r>
      <w:r>
        <w:rPr>
          <w:rFonts w:ascii="Noto Serif CJK SC" w:hAnsi="Noto Serif CJK SC" w:eastAsia="Noto Serif CJK SC"/>
          <w:b w:val="0"/>
          <w:sz w:val="22"/>
        </w:rPr>
        <w:t>基础权利之外的增量性、竞争性利己结果，应主要通过对他人、共同体和三大元目标产生真实正向结果获得。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5. </w:t>
      </w:r>
      <w:r>
        <w:rPr>
          <w:rFonts w:ascii="Noto Serif CJK SC" w:hAnsi="Noto Serif CJK SC" w:eastAsia="Noto Serif CJK SC"/>
          <w:b w:val="0"/>
          <w:sz w:val="22"/>
        </w:rPr>
        <w:t>贡献分大小，不分来源；资产、劳动、知识、照护、维护和风险承担均可被确认。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6. </w:t>
      </w:r>
      <w:r>
        <w:rPr>
          <w:rFonts w:ascii="Noto Serif CJK SC" w:hAnsi="Noto Serif CJK SC" w:eastAsia="Noto Serif CJK SC"/>
          <w:b w:val="0"/>
          <w:sz w:val="22"/>
        </w:rPr>
        <w:t>需求被有效满足具有文明价值，但不要求弱势群体主动申报，不强迫反馈，不损害隐私。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7. </w:t>
      </w:r>
      <w:r>
        <w:rPr>
          <w:rFonts w:ascii="Noto Serif CJK SC" w:hAnsi="Noto Serif CJK SC" w:eastAsia="Noto Serif CJK SC"/>
          <w:b w:val="0"/>
          <w:sz w:val="22"/>
        </w:rPr>
        <w:t>贡献值可以研究继承，决策权绝不通过血缘继承。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8. </w:t>
      </w:r>
      <w:r>
        <w:rPr>
          <w:rFonts w:ascii="Noto Serif CJK SC" w:hAnsi="Noto Serif CJK SC" w:eastAsia="Noto Serif CJK SC"/>
          <w:b w:val="0"/>
          <w:sz w:val="22"/>
        </w:rPr>
        <w:t>AGI只辅助，不替人决定文明方向；高影响事项必须有人类终审。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9. </w:t>
      </w:r>
      <w:r>
        <w:rPr>
          <w:rFonts w:ascii="Noto Serif CJK SC" w:hAnsi="Noto Serif CJK SC" w:eastAsia="Noto Serif CJK SC"/>
          <w:b w:val="0"/>
          <w:sz w:val="22"/>
        </w:rPr>
        <w:t>任何重大规则可审计、可申诉、可纠错、可暂停；退出者不受惩罚。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10. </w:t>
      </w:r>
      <w:r>
        <w:rPr>
          <w:rFonts w:ascii="Noto Serif CJK SC" w:hAnsi="Noto Serif CJK SC" w:eastAsia="Noto Serif CJK SC"/>
          <w:b w:val="0"/>
          <w:sz w:val="22"/>
        </w:rPr>
        <w:t>稳定期图景不能变成启动期强制义务。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11. </w:t>
      </w:r>
      <w:r>
        <w:rPr>
          <w:rFonts w:ascii="Noto Serif CJK SC" w:hAnsi="Noto Serif CJK SC" w:eastAsia="Noto Serif CJK SC"/>
          <w:b w:val="0"/>
          <w:sz w:val="22"/>
        </w:rPr>
        <w:t>任何需要某个群体先输的方案，都必须退回重设计。</w:t>
      </w:r>
    </w:p>
    <w:p>
      <w:pPr>
        <w:pStyle w:val="BodyText"/>
        <w:spacing w:after="60" w:line="312" w:lineRule="auto"/>
        <w:ind w:left="425" w:hanging="312"/>
        <w:keepLines/>
      </w:pPr>
      <w:r>
        <w:rPr>
          <w:rFonts w:ascii="Noto Serif CJK SC" w:hAnsi="Noto Serif CJK SC" w:eastAsia="Noto Serif CJK SC"/>
          <w:b/>
          <w:sz w:val="22"/>
        </w:rPr>
        <w:t xml:space="preserve">12. </w:t>
      </w:r>
      <w:r>
        <w:rPr>
          <w:rFonts w:ascii="Noto Serif CJK SC" w:hAnsi="Noto Serif CJK SC" w:eastAsia="Noto Serif CJK SC"/>
          <w:b w:val="0"/>
          <w:sz w:val="22"/>
        </w:rPr>
        <w:t>一切制度、技术和指标都只服务于生存无忧、生活幸福、生命更有意义。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9519"/>
      </w:tblGrid>
      <w:tr>
        <w:tc>
          <w:tcPr>
            <w:tcW w:type="dxa" w:w="9519"/>
            <w:shd w:fill="F3F6F8"/>
            <w:tcMar>
              <w:top w:w="130" w:type="dxa"/>
              <w:start w:w="220" w:type="dxa"/>
              <w:bottom w:w="130" w:type="dxa"/>
              <w:end w:w="220" w:type="dxa"/>
            </w:tcMar>
          </w:tcPr>
          <w:p>
            <w:pPr>
              <w:spacing w:line="324" w:lineRule="auto"/>
              <w:jc w:val="left"/>
            </w:pPr>
            <w:r>
              <w:rPr>
                <w:rFonts w:ascii="Noto Serif CJK SC" w:hAnsi="Noto Serif CJK SC" w:eastAsia="Noto Serif CJK SC"/>
                <w:b/>
                <w:color w:val="283E4C"/>
                <w:sz w:val="22"/>
              </w:rPr>
              <w:t>这份公众承诺不是修辞，而是实验区获得信任的第一制度。没有安全感，就没有真实参与；没有真实参与，就没有文明跃迁。</w:t>
            </w:r>
          </w:p>
        </w:tc>
      </w:tr>
    </w:tbl>
    <w:p>
      <w:pPr>
        <w:spacing w:after="0"/>
      </w:pPr>
    </w:p>
    <w:p>
      <w:pPr>
        <w:spacing w:before="480"/>
        <w:jc w:val="center"/>
      </w:pPr>
      <w:r>
        <w:rPr>
          <w:rFonts w:ascii="Noto Serif CJK SC" w:hAnsi="Noto Serif CJK SC" w:eastAsia="Noto Serif CJK SC"/>
          <w:b/>
          <w:color w:val="505050"/>
          <w:sz w:val="20"/>
        </w:rPr>
        <w:t>——《AGI时代文明跃迁国家级综合实验区建议书》v0.8 全文完——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pgSz w:w="12240" w:h="15840"/>
      <w:pgMar w:top="1247" w:right="1332" w:bottom="1191" w:left="1389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 PAGE </w:instrText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Noto Serif CJK SC" w:hAnsi="Noto Serif CJK SC" w:eastAsia="Noto Serif CJK SC"/>
        <w:b w:val="0"/>
        <w:color w:val="646464"/>
        <w:sz w:val="17"/>
      </w:rPr>
      <w:t>AGI时代文明跃迁国家级综合实验区建议书 · v0.8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oto Serif CJK SC" w:hAnsi="Noto Serif CJK SC" w:eastAsia="Noto Serif CJK SC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1F3645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1F3645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Noto Serif CJK SC" w:hAnsi="Noto Serif CJK SC" w:eastAsia="Noto Serif CJK SC"/>
      <w:b/>
      <w:bCs/>
      <w:color w:val="1F3645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 w:line="348" w:lineRule="auto"/>
    </w:pPr>
    <w:rPr>
      <w:rFonts w:ascii="Noto Serif CJK SC" w:hAnsi="Noto Serif CJK SC" w:eastAsia="Noto Serif CJK SC"/>
      <w:sz w:val="22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Noto Serif CJK SC" w:hAnsi="Noto Serif CJK SC" w:eastAsia="Noto Serif CJK SC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Noto Serif CJK SC" w:hAnsi="Noto Serif CJK SC" w:eastAsia="Noto Serif CJK SC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Noto Serif CJK SC" w:hAnsi="Noto Serif CJK SC" w:eastAsia="Noto Serif CJK SC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Noto Serif CJK SC" w:hAnsi="Noto Serif CJK SC" w:eastAsia="Noto Serif CJK SC"/>
      <w:sz w:val="21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AGI时代文明跃迁国家级综合实验区建议书 v0.8</dc:title>
  <dc:subject>国家级、城市级、缩域不降维的文明高地实验完整建议</dc:subject>
  <dc:creator>子君赋｜文明跃迁研究组</dc:creator>
  <cp:keywords>文明跃迁, AGI, 国家级综合实验区, 文明高地, 资源池, 贡献值, 三权分离</cp:keywords>
  <dc:description>决策完整与建议阶段归位版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