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Noto Sans CJK SC" w:hAnsi="Noto Sans CJK SC" w:eastAsia="Noto Sans CJK SC"/>
          <w:b/>
          <w:color w:val="244062"/>
          <w:sz w:val="48"/>
        </w:rPr>
        <w:t>国家级文明跃迁综合实验区总体实验设计与基线方案</w:t>
      </w:r>
    </w:p>
    <w:p>
      <w:pPr>
        <w:jc w:val="center"/>
      </w:pPr>
      <w:r>
        <w:rPr>
          <w:rFonts w:ascii="Noto Sans CJK SC" w:hAnsi="Noto Sans CJK SC" w:eastAsia="Noto Sans CJK SC"/>
          <w:color w:val="666666"/>
          <w:sz w:val="25"/>
        </w:rPr>
        <w:t>以《AGI时代文明跃迁国家级综合实验区建议书》v0.7相位归位版为政策母稿</w:t>
      </w:r>
    </w:p>
    <w:p/>
    <w:p>
      <w:pPr>
        <w:jc w:val="center"/>
      </w:pPr>
      <w:r>
        <w:rPr>
          <w:rFonts w:ascii="Noto Sans CJK SC" w:hAnsi="Noto Sans CJK SC" w:eastAsia="Noto Sans CJK SC"/>
          <w:b/>
          <w:color w:val="8B1E1E"/>
          <w:sz w:val="24"/>
        </w:rPr>
        <w:t>E001-v0.2｜相位纪律整合实验设计草案</w:t>
      </w:r>
    </w:p>
    <w:p>
      <w:pPr>
        <w:jc w:val="center"/>
      </w:pPr>
      <w:r>
        <w:rPr>
          <w:rFonts w:ascii="Noto Serif CJK SC" w:hAnsi="Noto Serif CJK SC" w:eastAsia="Noto Serif CJK SC"/>
          <w:sz w:val="21"/>
        </w:rPr>
        <w:t>作者：子君赋｜出品：文明跃迁研究组｜2026年7月</w:t>
      </w:r>
    </w:p>
    <w:p>
      <w:pPr>
        <w:jc w:val="center"/>
      </w:pPr>
      <w:r>
        <w:rPr>
          <w:rFonts w:ascii="Noto Serif CJK SC" w:hAnsi="Noto Serif CJK SC" w:eastAsia="Noto Serif CJK SC"/>
          <w:color w:val="666666"/>
          <w:sz w:val="19"/>
        </w:rPr>
        <w:t>文件属性：专业验证文件</w:t>
      </w:r>
    </w:p>
    <w:p>
      <w:r>
        <w:br w:type="page"/>
      </w:r>
    </w:p>
    <w:p>
      <w:pPr>
        <w:pStyle w:val="Heading1"/>
        <w:keepNext/>
        <w:keepLines/>
      </w:pPr>
      <w:r>
        <w:t>文件定位</w:t>
      </w:r>
    </w:p>
    <w:p>
      <w:pPr>
        <w:keepLines/>
      </w:pPr>
      <w:r>
        <w:t>本文件不是新的政策主稿，而是把《AGI时代文明跃迁国家级综合实验区建议书》v0.7相位归位版转化为可登记、可比较、可暂停、可回滚、可由独立主体核验的总体实验设计。v0.7负责回答“为什么必须以国家级、城市级、缩域不降维的方式验证文明跃迁”；E001负责回答“验证什么、以何种基线验证、由谁采集证据、何时判定失败、怎样保护参与者”。</w:t>
      </w:r>
    </w:p>
    <w:p>
      <w:pPr>
        <w:pStyle w:val="QuoteStrong"/>
        <w:keepLines/>
      </w:pPr>
      <w:r>
        <w:t>政策母稿确立方向；实验设计规定证据；独立评审检验解释；运行结果决定制度能否继续。</w:t>
      </w:r>
    </w:p>
    <w:p>
      <w:pPr>
        <w:pStyle w:val="Heading2"/>
        <w:keepNext/>
        <w:keepLines/>
      </w:pPr>
      <w:r>
        <w:t>一、上位文件与适用关系</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blHeader w:val="true"/>
          <w:cantSplit/>
        </w:trPr>
        <w:tc>
          <w:tcPr>
            <w:tcW w:type="dxa" w:w="198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文件</w:t>
            </w:r>
          </w:p>
        </w:tc>
        <w:tc>
          <w:tcPr>
            <w:tcW w:type="dxa" w:w="317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功能</w:t>
            </w:r>
          </w:p>
        </w:tc>
        <w:tc>
          <w:tcPr>
            <w:tcW w:type="dxa" w:w="3969"/>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E001处理方式</w:t>
            </w:r>
          </w:p>
        </w:tc>
      </w:tr>
      <w:tr>
        <w:trPr>
          <w:cantSplit/>
          <w:cantSplit/>
        </w:trPr>
        <w:tc>
          <w:tcPr>
            <w:tcW w:type="dxa" w:w="1984"/>
            <w:vAlign w:val="center"/>
            <w:tcMar>
              <w:top w:w="60" w:type="dxa"/>
              <w:start w:w="70" w:type="dxa"/>
              <w:bottom w:w="60" w:type="dxa"/>
              <w:end w:w="70" w:type="dxa"/>
            </w:tcMar>
          </w:tcPr>
          <w:p>
            <w:r/>
            <w:r>
              <w:rPr>
                <w:rFonts w:ascii="Noto Serif CJK SC" w:hAnsi="Noto Serif CJK SC" w:eastAsia="Noto Serif CJK SC"/>
                <w:b w:val="0"/>
                <w:color w:val="000000"/>
                <w:sz w:val="17"/>
              </w:rPr>
              <w:t>V3.9公开主稿</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7"/>
              </w:rPr>
              <w:t>确立国家命运、共同安全/发展/持续、资源共同体、治理共同体、向善智能和个人权利边界</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作为上位公开原则，不由实验方案降低</w:t>
            </w:r>
          </w:p>
        </w:tc>
      </w:tr>
      <w:tr>
        <w:trPr>
          <w:cantSplit/>
          <w:cantSplit/>
        </w:trPr>
        <w:tc>
          <w:tcPr>
            <w:tcW w:type="dxa" w:w="1984"/>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v1.5内部战略研判</w:t>
            </w:r>
          </w:p>
        </w:tc>
        <w:tc>
          <w:tcPr>
            <w:tcW w:type="dxa" w:w="3175"/>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管理对象、利益、接入、风险与危机轨</w:t>
            </w:r>
          </w:p>
        </w:tc>
        <w:tc>
          <w:tcPr>
            <w:tcW w:type="dxa" w:w="396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仅用于外部验证和传播管理，不进入居民权利规则</w:t>
            </w:r>
          </w:p>
        </w:tc>
      </w:tr>
      <w:tr>
        <w:trPr>
          <w:cantSplit/>
          <w:cantSplit/>
        </w:trPr>
        <w:tc>
          <w:tcPr>
            <w:tcW w:type="dxa" w:w="1984"/>
            <w:vAlign w:val="center"/>
            <w:tcMar>
              <w:top w:w="60" w:type="dxa"/>
              <w:start w:w="70" w:type="dxa"/>
              <w:bottom w:w="60" w:type="dxa"/>
              <w:end w:w="70" w:type="dxa"/>
            </w:tcMar>
          </w:tcPr>
          <w:p>
            <w:r/>
            <w:r>
              <w:rPr>
                <w:rFonts w:ascii="Noto Serif CJK SC" w:hAnsi="Noto Serif CJK SC" w:eastAsia="Noto Serif CJK SC"/>
                <w:b w:val="0"/>
                <w:color w:val="000000"/>
                <w:sz w:val="17"/>
              </w:rPr>
              <w:t>实验区建议书v0.7</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7"/>
              </w:rPr>
              <w:t>政策母稿与完整制度构想</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作为E001的实验对象与相位设计来源</w:t>
            </w:r>
          </w:p>
        </w:tc>
      </w:tr>
      <w:tr>
        <w:trPr>
          <w:cantSplit/>
          <w:cantSplit/>
        </w:trPr>
        <w:tc>
          <w:tcPr>
            <w:tcW w:type="dxa" w:w="1984"/>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P01-P08</w:t>
            </w:r>
          </w:p>
        </w:tc>
        <w:tc>
          <w:tcPr>
            <w:tcW w:type="dxa" w:w="3175"/>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专业协议原则草案</w:t>
            </w:r>
          </w:p>
        </w:tc>
        <w:tc>
          <w:tcPr>
            <w:tcW w:type="dxa" w:w="396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在各实验相位中逐项验证，不一次性全部生效</w:t>
            </w:r>
          </w:p>
        </w:tc>
      </w:tr>
      <w:tr>
        <w:trPr>
          <w:cantSplit/>
          <w:cantSplit/>
        </w:trPr>
        <w:tc>
          <w:tcPr>
            <w:tcW w:type="dxa" w:w="1984"/>
            <w:vAlign w:val="center"/>
            <w:tcMar>
              <w:top w:w="60" w:type="dxa"/>
              <w:start w:w="70" w:type="dxa"/>
              <w:bottom w:w="60" w:type="dxa"/>
              <w:end w:w="70" w:type="dxa"/>
            </w:tcMar>
          </w:tcPr>
          <w:p>
            <w:r/>
            <w:r>
              <w:rPr>
                <w:rFonts w:ascii="Noto Serif CJK SC" w:hAnsi="Noto Serif CJK SC" w:eastAsia="Noto Serif CJK SC"/>
                <w:b w:val="0"/>
                <w:color w:val="000000"/>
                <w:sz w:val="17"/>
              </w:rPr>
              <w:t>E001</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7"/>
              </w:rPr>
              <w:t>总体实验设计、基线、证据和停止规则</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不代替法律授权、城市总体规划和具体技术方案</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D001相位设计指引</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约束一切后续方案的相位、全员无损和对立死结纪律</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作为E001及各子实验的前置否决性约束</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D002相位合规工具</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把D001转化为逐项检查表、七类群体矩阵和升相位证据包</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每一子实验登记前必须填写并通过</w:t>
            </w:r>
          </w:p>
        </w:tc>
      </w:tr>
    </w:tbl>
    <w:p/>
    <w:p>
      <w:pPr>
        <w:pStyle w:val="Heading2"/>
        <w:keepNext/>
        <w:keepLines/>
      </w:pPr>
      <w:r>
        <w:t>二、实验性解释与刚性边界</w:t>
      </w:r>
    </w:p>
    <w:p>
      <w:pPr>
        <w:keepLines/>
      </w:pPr>
      <w:r>
        <w:t>以下解释不是削弱v0.7的思想主轴，而是避免把尚待验证的稳定期形态直接当作启动期既成规则。</w:t>
      </w:r>
    </w:p>
    <w:p>
      <w:pPr>
        <w:pStyle w:val="Heading2"/>
      </w:pPr>
      <w:r>
        <w:t>三、D001相位设计前置约束</w:t>
      </w:r>
    </w:p>
    <w:p>
      <w:r>
        <w:t>E001中的六个实施期不是另立一套相位，而是对D001四相位的实验工程展开。任何子项目不得只引用“第几期”而不标注其属于启动期、初期、过渡期或实验区稳定期入口。</w:t>
      </w:r>
    </w:p>
    <w:tbl>
      <w:tblPr>
        <w:tblStyle w:val="TableGrid"/>
        <w:tblW w:type="auto" w:w="0"/>
        <w:jc w:val="center"/>
        <w:tblLook w:firstColumn="1" w:firstRow="1" w:lastColumn="0" w:lastRow="0" w:noHBand="0" w:noVBand="1" w:val="04A0"/>
      </w:tblPr>
      <w:tblGrid>
        <w:gridCol w:w="2465"/>
        <w:gridCol w:w="2465"/>
        <w:gridCol w:w="2465"/>
        <w:gridCol w:w="2465"/>
      </w:tblGrid>
      <w:tr>
        <w:trPr>
          <w:tblHeader w:val="true"/>
          <w:cantSplit/>
        </w:trPr>
        <w:tc>
          <w:tcPr>
            <w:tcW w:type="dxa" w:w="246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5"/>
              </w:rPr>
              <w:t>D001相位</w:t>
            </w:r>
          </w:p>
        </w:tc>
        <w:tc>
          <w:tcPr>
            <w:tcW w:type="dxa" w:w="246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5"/>
              </w:rPr>
              <w:t>E001对应期</w:t>
            </w:r>
          </w:p>
        </w:tc>
        <w:tc>
          <w:tcPr>
            <w:tcW w:type="dxa" w:w="246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5"/>
              </w:rPr>
              <w:t>实验规则</w:t>
            </w:r>
          </w:p>
        </w:tc>
        <w:tc>
          <w:tcPr>
            <w:tcW w:type="dxa" w:w="246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5"/>
              </w:rPr>
              <w:t>否决条件</w:t>
            </w:r>
          </w:p>
        </w:tc>
      </w:tr>
      <w:tr>
        <w:trPr>
          <w:cantSplit/>
        </w:trPr>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启动期</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第0期、第1期、第2期</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一切参与自愿；只设收益和入口，不设新的强制义务；逐群体完成动力源和无损设计。</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任一群体底线劣化；必须先交出产权、数据、职位或权利才能启动。</w:t>
            </w:r>
          </w:p>
        </w:tc>
      </w:tr>
      <w:tr>
        <w:trPr>
          <w:cantSplit/>
        </w:trPr>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初期</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第2.5期、第3期</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局部闭环，可观察、可退出、可修正；失败成本由方案承担。</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退出减损；基本权利读取贡献；失败无法回滚。</w:t>
            </w:r>
          </w:p>
        </w:tc>
      </w:tr>
      <w:tr>
        <w:trPr>
          <w:cantSplit/>
        </w:trPr>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过渡期</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第4期</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多数联盟与城市级网络形成；依靠可感收益产生引力，不惩罚后来者和未加入者。</w:t>
            </w:r>
          </w:p>
        </w:tc>
        <w:tc>
          <w:tcPr>
            <w:tcW w:type="dxa" w:w="2465"/>
            <w:vAlign w:val="center"/>
            <w:tcMar>
              <w:top w:w="60" w:type="dxa"/>
              <w:start w:w="70" w:type="dxa"/>
              <w:bottom w:w="60" w:type="dxa"/>
              <w:end w:w="70" w:type="dxa"/>
            </w:tcMar>
          </w:tcPr>
          <w:p>
            <w:r/>
            <w:r>
              <w:rPr>
                <w:rFonts w:ascii="Noto Serif CJK SC" w:hAnsi="Noto Serif CJK SC" w:eastAsia="Noto Serif CJK SC"/>
                <w:b w:val="0"/>
                <w:color w:val="000000"/>
                <w:sz w:val="15"/>
              </w:rPr>
              <w:t>以服务、资源、身份或权利惩罚未加入者。</w:t>
            </w:r>
          </w:p>
        </w:tc>
      </w:tr>
      <w:tr>
        <w:trPr>
          <w:cantSplit/>
        </w:trPr>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实验区稳定期入口</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第5期</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在实验区尺度验证宪制性规则、三权分离与自运行；不等同于全人类文明已进入稳定期。</w:t>
            </w:r>
          </w:p>
        </w:tc>
        <w:tc>
          <w:tcPr>
            <w:tcW w:type="dxa" w:w="2465"/>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以实验区成果宣布全球终局；贡献值加权文明表决。</w:t>
            </w:r>
          </w:p>
        </w:tc>
      </w:tr>
    </w:tbl>
    <w:p>
      <w:r>
        <w:t>三条铁律为E001的刚性阶段门：未完成相位标注、不能证明全员无损、或存在必须让某群体先输的对立死结，均不得进入试点或升相位。</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381"/>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v0.7核心命题</w:t>
            </w:r>
          </w:p>
        </w:tc>
        <w:tc>
          <w:tcPr>
            <w:tcW w:type="dxa" w:w="3969"/>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E001实验性解释</w:t>
            </w:r>
          </w:p>
        </w:tc>
        <w:tc>
          <w:tcPr>
            <w:tcW w:type="dxa" w:w="3515"/>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不得越过的边界</w:t>
            </w:r>
          </w:p>
        </w:tc>
      </w:tr>
      <w:tr>
        <w:trPr>
          <w:cantSplit/>
        </w:trPr>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利己结果必须由利他行为与结果获得</w:t>
            </w:r>
          </w:p>
        </w:tc>
        <w:tc>
          <w:tcPr>
            <w:tcW w:type="dxa" w:w="3969"/>
            <w:vAlign w:val="center"/>
            <w:tcMar>
              <w:top w:w="70" w:type="dxa"/>
              <w:start w:w="80" w:type="dxa"/>
              <w:bottom w:w="70" w:type="dxa"/>
              <w:end w:w="80" w:type="dxa"/>
            </w:tcMar>
          </w:tcPr>
          <w:p>
            <w:r/>
            <w:r>
              <w:rPr>
                <w:rFonts w:ascii="Noto Serif CJK SC" w:hAnsi="Noto Serif CJK SC" w:eastAsia="Noto Serif CJK SC"/>
                <w:b w:val="0"/>
                <w:color w:val="000000"/>
                <w:sz w:val="16"/>
              </w:rPr>
              <w:t>作为增量性、竞争性制度收益的核心假设，验证贡献能否成为更高级利己通道</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基础生存、基本医疗、基础教育、人格尊严、申诉和公民权利不以贡献为条件</w:t>
            </w:r>
          </w:p>
        </w:tc>
      </w:tr>
      <w:tr>
        <w:trPr>
          <w:cantSplit/>
        </w:trPr>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贡献值覆盖全域全员</w:t>
            </w:r>
          </w:p>
        </w:tc>
        <w:tc>
          <w:tcPr>
            <w:tcW w:type="dxa" w:w="39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每个人和机构均有贡献被识别的入口，不等于每个人必须被统一评分</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不建立人格总分；领域记录不得默认跨域合并；不登记、不共享不损害基本权利</w:t>
            </w:r>
          </w:p>
        </w:tc>
      </w:tr>
      <w:tr>
        <w:trPr>
          <w:cantSplit/>
        </w:trPr>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需求被满足即贡献</w:t>
            </w:r>
          </w:p>
        </w:tc>
        <w:tc>
          <w:tcPr>
            <w:tcW w:type="dxa" w:w="3969"/>
            <w:vAlign w:val="center"/>
            <w:tcMar>
              <w:top w:w="70" w:type="dxa"/>
              <w:start w:w="80" w:type="dxa"/>
              <w:bottom w:w="70" w:type="dxa"/>
              <w:end w:w="80" w:type="dxa"/>
            </w:tcMar>
          </w:tcPr>
          <w:p>
            <w:r/>
            <w:r>
              <w:rPr>
                <w:rFonts w:ascii="Noto Serif CJK SC" w:hAnsi="Noto Serif CJK SC" w:eastAsia="Noto Serif CJK SC"/>
                <w:b w:val="0"/>
                <w:color w:val="000000"/>
                <w:sz w:val="16"/>
              </w:rPr>
              <w:t>先进入“意义回应观察账”进行影子验证，检验需求与接受是否构成利他行为成立的事实条件</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不得强迫受助者反馈、感谢或暴露隐私；影子记录初期不直接产生资源优先权</w:t>
            </w:r>
          </w:p>
        </w:tc>
      </w:tr>
      <w:tr>
        <w:trPr>
          <w:cantSplit/>
        </w:trPr>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资源使用权全域可及</w:t>
            </w:r>
          </w:p>
        </w:tc>
        <w:tc>
          <w:tcPr>
            <w:tcW w:type="dxa" w:w="39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先完成全域资源目录、可开放能力和授权接口，不等于启动期强制归集所有使用权</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在用资源不中断；所有权让渡自愿；稳定期产权方向须依法授权并经文明表决</w:t>
            </w:r>
          </w:p>
        </w:tc>
      </w:tr>
      <w:tr>
        <w:trPr>
          <w:cantSplit/>
        </w:trPr>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动机无须考虑</w:t>
            </w:r>
          </w:p>
        </w:tc>
        <w:tc>
          <w:tcPr>
            <w:tcW w:type="dxa" w:w="3969"/>
            <w:vAlign w:val="center"/>
            <w:tcMar>
              <w:top w:w="70" w:type="dxa"/>
              <w:start w:w="80" w:type="dxa"/>
              <w:bottom w:w="70" w:type="dxa"/>
              <w:end w:w="80" w:type="dxa"/>
            </w:tcMar>
          </w:tcPr>
          <w:p>
            <w:r/>
            <w:r>
              <w:rPr>
                <w:rFonts w:ascii="Noto Serif CJK SC" w:hAnsi="Noto Serif CJK SC" w:eastAsia="Noto Serif CJK SC"/>
                <w:b w:val="0"/>
                <w:color w:val="000000"/>
                <w:sz w:val="16"/>
              </w:rPr>
              <w:t>正向贡献确认原则上依据客观结果，不进行道德审判</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欺诈、恶意、重大过失、利益冲突和法律责任仍须考虑主观状态与可预见性</w:t>
            </w:r>
          </w:p>
        </w:tc>
      </w:tr>
      <w:tr>
        <w:trPr>
          <w:cantSplit/>
        </w:trPr>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贡献值可以继承</w:t>
            </w:r>
          </w:p>
        </w:tc>
        <w:tc>
          <w:tcPr>
            <w:tcW w:type="dxa" w:w="39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作为意义延续与家庭庇护的实验假设，采用标记、衰减、上限和分域限制</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文明表决权、领域专业资格和基本公民身份不可继承</w:t>
            </w:r>
          </w:p>
        </w:tc>
      </w:tr>
    </w:tbl>
    <w:p/>
    <w:p>
      <w:pPr>
        <w:pStyle w:val="Heading1"/>
        <w:keepNext/>
        <w:keepLines/>
        <w:pageBreakBefore/>
      </w:pPr>
      <w:r>
        <w:t>第一章　实验目的、对象与核心假设</w:t>
      </w:r>
    </w:p>
    <w:p>
      <w:pPr>
        <w:pStyle w:val="Heading2"/>
        <w:keepNext/>
        <w:keepLines/>
      </w:pPr>
      <w:r>
        <w:t>1.1 总体目的</w:t>
      </w:r>
    </w:p>
    <w:p>
      <w:pPr>
        <w:keepLines/>
      </w:pPr>
      <w:r>
        <w:t>在国家授权、城市级承载、缩域不降维、完整系统运行的条件下，检验资源组织、贡献确认、三权分离、向善智能、基础生存保障与意义涌现能否共同改善“生存无忧、生活幸福、生命更有意义”，并确认这种改善是否具有财政、权利、技术、治理和人心上的可持续性。</w:t>
      </w:r>
    </w:p>
    <w:p>
      <w:pPr>
        <w:pStyle w:val="Heading2"/>
        <w:keepNext/>
        <w:keepLines/>
      </w:pPr>
      <w:r>
        <w:t>1.2 实验单位</w:t>
      </w:r>
    </w:p>
    <w:p>
      <w:pPr>
        <w:keepLines/>
      </w:pPr>
      <w:r>
        <w:t>实验单位不是单一平台、社区或志愿者项目，而是具有真实居民、真实公共服务、真实产业、真实资源、真实冲突和真实时间的城市级社会系统。第2.5期可以选择大学城、产业园、医疗养老片区等较小单元跑通最小闭环，但其任务只是验证接口和程序，不得被表述为已经证明文明跃迁。</w:t>
      </w:r>
    </w:p>
    <w:p>
      <w:pPr>
        <w:pStyle w:val="Heading2"/>
        <w:keepNext/>
        <w:keepLines/>
      </w:pPr>
      <w:r>
        <w:t>1.3 核心假设</w:t>
      </w:r>
    </w:p>
    <w:tbl>
      <w:tblPr>
        <w:tblStyle w:val="TableGrid"/>
        <w:tblW w:type="auto" w:w="0"/>
        <w:jc w:val="center"/>
        <w:tblLook w:firstColumn="1" w:firstRow="1" w:lastColumn="0" w:lastRow="0" w:noHBand="0" w:noVBand="1" w:val="04A0"/>
      </w:tblPr>
      <w:tblGrid>
        <w:gridCol w:w="4929"/>
        <w:gridCol w:w="4929"/>
        <w:gridCol w:w="1701"/>
      </w:tblGrid>
      <w:tr>
        <w:trPr>
          <w:tblHeader w:val="true"/>
          <w:cantSplit/>
          <w:tblHeader w:val="true"/>
          <w:cantSplit/>
        </w:trPr>
        <w:tc>
          <w:tcPr>
            <w:tcW w:type="dxa" w:w="850"/>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8"/>
              </w:rPr>
              <w:t>编号</w:t>
            </w:r>
          </w:p>
        </w:tc>
        <w:tc>
          <w:tcPr>
            <w:tcW w:type="dxa" w:w="8957"/>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8"/>
              </w:rPr>
              <w:t>待验证假设</w:t>
            </w:r>
          </w:p>
        </w:tc>
        <w:tc>
          <w:tcPr>
            <w:tcW w:type="dxa" w:w="1701"/>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首次验证相位</w:t>
            </w:r>
          </w:p>
        </w:tc>
      </w:tr>
      <w:tr>
        <w:trPr>
          <w:cantSplit/>
          <w:cantSplit/>
        </w:trPr>
        <w:tc>
          <w:tcPr>
            <w:tcW w:type="dxa" w:w="850"/>
            <w:vAlign w:val="center"/>
            <w:tcMar>
              <w:top w:w="60" w:type="dxa"/>
              <w:start w:w="70" w:type="dxa"/>
              <w:bottom w:w="60" w:type="dxa"/>
              <w:end w:w="70" w:type="dxa"/>
            </w:tcMar>
          </w:tcPr>
          <w:p>
            <w:r/>
            <w:r>
              <w:rPr>
                <w:rFonts w:ascii="Noto Serif CJK SC" w:hAnsi="Noto Serif CJK SC" w:eastAsia="Noto Serif CJK SC"/>
                <w:b w:val="0"/>
                <w:color w:val="000000"/>
                <w:sz w:val="18"/>
              </w:rPr>
              <w:t>H1</w:t>
            </w:r>
          </w:p>
        </w:tc>
        <w:tc>
          <w:tcPr>
            <w:tcW w:type="dxa" w:w="8957"/>
            <w:vAlign w:val="center"/>
            <w:tcMar>
              <w:top w:w="60" w:type="dxa"/>
              <w:start w:w="70" w:type="dxa"/>
              <w:bottom w:w="60" w:type="dxa"/>
              <w:end w:w="70" w:type="dxa"/>
            </w:tcMar>
          </w:tcPr>
          <w:p>
            <w:r/>
            <w:r>
              <w:rPr>
                <w:rFonts w:ascii="Noto Serif CJK SC" w:hAnsi="Noto Serif CJK SC" w:eastAsia="Noto Serif CJK SC"/>
                <w:b w:val="0"/>
                <w:color w:val="000000"/>
                <w:sz w:val="18"/>
              </w:rPr>
              <w:t>基础生存保障与资源有效使用共同作用，可在不增加羞辱与排斥的情况下降低居民生存焦虑。</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H2</w:t>
            </w:r>
          </w:p>
        </w:tc>
        <w:tc>
          <w:tcPr>
            <w:tcW w:type="dxa" w:w="8957"/>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资源所有权、使用权、调度权和收益责任分开，可提高闲置资源进入真实使用的比例。</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tcMar>
              <w:top w:w="60" w:type="dxa"/>
              <w:start w:w="70" w:type="dxa"/>
              <w:bottom w:w="60" w:type="dxa"/>
              <w:end w:w="70" w:type="dxa"/>
            </w:tcMar>
          </w:tcPr>
          <w:p>
            <w:r/>
            <w:r>
              <w:rPr>
                <w:rFonts w:ascii="Noto Serif CJK SC" w:hAnsi="Noto Serif CJK SC" w:eastAsia="Noto Serif CJK SC"/>
                <w:b w:val="0"/>
                <w:color w:val="000000"/>
                <w:sz w:val="18"/>
              </w:rPr>
              <w:t>H3</w:t>
            </w:r>
          </w:p>
        </w:tc>
        <w:tc>
          <w:tcPr>
            <w:tcW w:type="dxa" w:w="8957"/>
            <w:vAlign w:val="center"/>
            <w:tcMar>
              <w:top w:w="60" w:type="dxa"/>
              <w:start w:w="70" w:type="dxa"/>
              <w:bottom w:w="60" w:type="dxa"/>
              <w:end w:w="70" w:type="dxa"/>
            </w:tcMar>
          </w:tcPr>
          <w:p>
            <w:r/>
            <w:r>
              <w:rPr>
                <w:rFonts w:ascii="Noto Serif CJK SC" w:hAnsi="Noto Serif CJK SC" w:eastAsia="Noto Serif CJK SC"/>
                <w:b w:val="0"/>
                <w:color w:val="000000"/>
                <w:sz w:val="18"/>
              </w:rPr>
              <w:t>事实锚定、领域化、用途限定的贡献确认，可提高非货币贡献的可见性而不形成社会评分。</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H4</w:t>
            </w:r>
          </w:p>
        </w:tc>
        <w:tc>
          <w:tcPr>
            <w:tcW w:type="dxa" w:w="8957"/>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文明表决权、领域决策权与资源使用权分离，可降低财富、技术和贡献记录对整体方向的垄断。</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tcMar>
              <w:top w:w="60" w:type="dxa"/>
              <w:start w:w="70" w:type="dxa"/>
              <w:bottom w:w="60" w:type="dxa"/>
              <w:end w:w="70" w:type="dxa"/>
            </w:tcMar>
          </w:tcPr>
          <w:p>
            <w:r/>
            <w:r>
              <w:rPr>
                <w:rFonts w:ascii="Noto Serif CJK SC" w:hAnsi="Noto Serif CJK SC" w:eastAsia="Noto Serif CJK SC"/>
                <w:b w:val="0"/>
                <w:color w:val="000000"/>
                <w:sz w:val="18"/>
              </w:rPr>
              <w:t>H5</w:t>
            </w:r>
          </w:p>
        </w:tc>
        <w:tc>
          <w:tcPr>
            <w:tcW w:type="dxa" w:w="8957"/>
            <w:vAlign w:val="center"/>
            <w:tcMar>
              <w:top w:w="60" w:type="dxa"/>
              <w:start w:w="70" w:type="dxa"/>
              <w:bottom w:w="60" w:type="dxa"/>
              <w:end w:w="70" w:type="dxa"/>
            </w:tcMar>
          </w:tcPr>
          <w:p>
            <w:r/>
            <w:r>
              <w:rPr>
                <w:rFonts w:ascii="Noto Serif CJK SC" w:hAnsi="Noto Serif CJK SC" w:eastAsia="Noto Serif CJK SC"/>
                <w:b w:val="0"/>
                <w:color w:val="000000"/>
                <w:sz w:val="18"/>
              </w:rPr>
              <w:t>向善智能可提高资源发现、供需匹配、风险预警和政策推演能力，同时保持人类终审与可退出。</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H6</w:t>
            </w:r>
          </w:p>
        </w:tc>
        <w:tc>
          <w:tcPr>
            <w:tcW w:type="dxa" w:w="8957"/>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人员与个体资源池的可达、可用和自主流动，可扩大真实机会而不将人作为可调配资源。</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tcMar>
              <w:top w:w="60" w:type="dxa"/>
              <w:start w:w="70" w:type="dxa"/>
              <w:bottom w:w="60" w:type="dxa"/>
              <w:end w:w="70" w:type="dxa"/>
            </w:tcMar>
          </w:tcPr>
          <w:p>
            <w:r/>
            <w:r>
              <w:rPr>
                <w:rFonts w:ascii="Noto Serif CJK SC" w:hAnsi="Noto Serif CJK SC" w:eastAsia="Noto Serif CJK SC"/>
                <w:b w:val="0"/>
                <w:color w:val="000000"/>
                <w:sz w:val="18"/>
              </w:rPr>
              <w:t>H7</w:t>
            </w:r>
          </w:p>
        </w:tc>
        <w:tc>
          <w:tcPr>
            <w:tcW w:type="dxa" w:w="8957"/>
            <w:vAlign w:val="center"/>
            <w:tcMar>
              <w:top w:w="60" w:type="dxa"/>
              <w:start w:w="70" w:type="dxa"/>
              <w:bottom w:w="60" w:type="dxa"/>
              <w:end w:w="70" w:type="dxa"/>
            </w:tcMar>
          </w:tcPr>
          <w:p>
            <w:r/>
            <w:r>
              <w:rPr>
                <w:rFonts w:ascii="Noto Serif CJK SC" w:hAnsi="Noto Serif CJK SC" w:eastAsia="Noto Serif CJK SC"/>
                <w:b w:val="0"/>
                <w:color w:val="000000"/>
                <w:sz w:val="18"/>
              </w:rPr>
              <w:t>照护、陪伴、维护、知识传递和需求承接被制度性看见后，居民意义感和共同体连接增强。</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6"/>
              </w:rPr>
              <w:t>初期</w:t>
            </w:r>
          </w:p>
        </w:tc>
      </w:tr>
      <w:tr>
        <w:trPr>
          <w:cantSplit/>
          <w:cantSplit/>
        </w:trPr>
        <w:tc>
          <w:tcPr>
            <w:tcW w:type="dxa" w:w="850"/>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H8</w:t>
            </w:r>
          </w:p>
        </w:tc>
        <w:tc>
          <w:tcPr>
            <w:tcW w:type="dxa" w:w="8957"/>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继承贡献值在衰减、标记和不可兑换权力的边界下，可增强贡献延续感而不形成世袭治理优势。</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初期—过渡期</w:t>
            </w:r>
          </w:p>
        </w:tc>
      </w:tr>
      <w:tr>
        <w:trPr>
          <w:cantSplit/>
          <w:cantSplit/>
        </w:trPr>
        <w:tc>
          <w:tcPr>
            <w:tcW w:type="dxa" w:w="850"/>
            <w:vAlign w:val="center"/>
            <w:tcMar>
              <w:top w:w="60" w:type="dxa"/>
              <w:start w:w="70" w:type="dxa"/>
              <w:bottom w:w="60" w:type="dxa"/>
              <w:end w:w="70" w:type="dxa"/>
            </w:tcMar>
          </w:tcPr>
          <w:p>
            <w:r/>
            <w:r>
              <w:rPr>
                <w:rFonts w:ascii="Noto Serif CJK SC" w:hAnsi="Noto Serif CJK SC" w:eastAsia="Noto Serif CJK SC"/>
                <w:b w:val="0"/>
                <w:color w:val="000000"/>
                <w:sz w:val="18"/>
              </w:rPr>
              <w:t>H9</w:t>
            </w:r>
          </w:p>
        </w:tc>
        <w:tc>
          <w:tcPr>
            <w:tcW w:type="dxa" w:w="8957"/>
            <w:vAlign w:val="center"/>
            <w:tcMar>
              <w:top w:w="60" w:type="dxa"/>
              <w:start w:w="70" w:type="dxa"/>
              <w:bottom w:w="60" w:type="dxa"/>
              <w:end w:w="70" w:type="dxa"/>
            </w:tcMar>
          </w:tcPr>
          <w:p>
            <w:r/>
            <w:r>
              <w:rPr>
                <w:rFonts w:ascii="Noto Serif CJK SC" w:hAnsi="Noto Serif CJK SC" w:eastAsia="Noto Serif CJK SC"/>
                <w:b w:val="0"/>
                <w:color w:val="000000"/>
                <w:sz w:val="18"/>
              </w:rPr>
              <w:t>国家级授权与城市级完整运行能够比社区、企业或公益单点试验更真实地揭示制度耦合和失败。</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6"/>
              </w:rPr>
              <w:t>初期—过渡期</w:t>
            </w:r>
          </w:p>
        </w:tc>
      </w:tr>
      <w:tr>
        <w:trPr>
          <w:cantSplit/>
          <w:cantSplit/>
        </w:trPr>
        <w:tc>
          <w:tcPr>
            <w:tcW w:type="dxa" w:w="850"/>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H10</w:t>
            </w:r>
          </w:p>
        </w:tc>
        <w:tc>
          <w:tcPr>
            <w:tcW w:type="dxa" w:w="8957"/>
            <w:vAlign w:val="center"/>
            <w:shd w:fill="EEF4F8"/>
            <w:tcMar>
              <w:top w:w="60" w:type="dxa"/>
              <w:start w:w="70" w:type="dxa"/>
              <w:bottom w:w="60" w:type="dxa"/>
              <w:end w:w="70" w:type="dxa"/>
            </w:tcMar>
          </w:tcPr>
          <w:p>
            <w:r/>
            <w:r>
              <w:rPr>
                <w:rFonts w:ascii="Noto Serif CJK SC" w:hAnsi="Noto Serif CJK SC" w:eastAsia="Noto Serif CJK SC"/>
                <w:b w:val="0"/>
                <w:color w:val="000000"/>
                <w:sz w:val="18"/>
              </w:rPr>
              <w:t>对失败、异议、人工否决、申诉、撤回和退出的永久记录，会提高而非削弱制度可信度。</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全相位</w:t>
            </w:r>
          </w:p>
        </w:tc>
      </w:tr>
    </w:tbl>
    <w:p/>
    <w:p>
      <w:pPr>
        <w:pStyle w:val="Heading1"/>
        <w:keepNext/>
        <w:keepLines/>
        <w:pageBreakBefore/>
      </w:pPr>
      <w:r>
        <w:t>第二章　相位设计与阶段门</w:t>
      </w:r>
    </w:p>
    <w:p>
      <w:pPr>
        <w:keepLines/>
      </w:pPr>
      <w:r>
        <w:t>实验沿用v0.7的相位框架。相位切换由证据与因果触发，不由日历自动触发。任何相位均不得因政治压力、宣传需要或沉没成本而绕过阶段门。</w:t>
      </w:r>
    </w:p>
    <w:tbl>
      <w:tblPr>
        <w:tblStyle w:val="TableGrid"/>
        <w:tblW w:type="auto" w:w="0"/>
        <w:jc w:val="center"/>
        <w:tblLook w:firstColumn="1" w:firstRow="1" w:lastColumn="0" w:lastRow="0" w:noHBand="0" w:noVBand="1" w:val="04A0"/>
      </w:tblPr>
      <w:tblGrid>
        <w:gridCol w:w="1972"/>
        <w:gridCol w:w="1972"/>
        <w:gridCol w:w="1972"/>
        <w:gridCol w:w="1972"/>
        <w:gridCol w:w="1972"/>
        <w:gridCol w:w="1701"/>
      </w:tblGrid>
      <w:tr>
        <w:trPr>
          <w:tblHeader w:val="true"/>
          <w:cantSplit/>
          <w:tblHeader w:val="true"/>
          <w:cantSplit/>
        </w:trPr>
        <w:tc>
          <w:tcPr>
            <w:tcW w:type="dxa" w:w="79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相位</w:t>
            </w:r>
          </w:p>
        </w:tc>
        <w:tc>
          <w:tcPr>
            <w:tcW w:type="dxa" w:w="1361"/>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名称</w:t>
            </w:r>
          </w:p>
        </w:tc>
        <w:tc>
          <w:tcPr>
            <w:tcW w:type="dxa" w:w="249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主要任务</w:t>
            </w:r>
          </w:p>
        </w:tc>
        <w:tc>
          <w:tcPr>
            <w:tcW w:type="dxa" w:w="3175"/>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进入下一相位最低门槛</w:t>
            </w:r>
          </w:p>
        </w:tc>
        <w:tc>
          <w:tcPr>
            <w:tcW w:type="dxa" w:w="2268"/>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核心交付</w:t>
            </w:r>
          </w:p>
        </w:tc>
        <w:tc>
          <w:tcPr>
            <w:tcW w:type="dxa" w:w="1701"/>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5"/>
              </w:rPr>
              <w:t>D001相位归属</w:t>
            </w:r>
          </w:p>
        </w:tc>
      </w:tr>
      <w:tr>
        <w:trPr>
          <w:cantSplit/>
          <w:cantSplit/>
        </w:trPr>
        <w:tc>
          <w:tcPr>
            <w:tcW w:type="dxa" w:w="794"/>
            <w:vAlign w:val="center"/>
            <w:tcMar>
              <w:top w:w="60" w:type="dxa"/>
              <w:start w:w="70" w:type="dxa"/>
              <w:bottom w:w="60" w:type="dxa"/>
              <w:end w:w="70" w:type="dxa"/>
            </w:tcMar>
          </w:tcPr>
          <w:p>
            <w:r/>
            <w:r>
              <w:rPr>
                <w:rFonts w:ascii="Noto Serif CJK SC" w:hAnsi="Noto Serif CJK SC" w:eastAsia="Noto Serif CJK SC"/>
                <w:b w:val="0"/>
                <w:color w:val="000000"/>
                <w:sz w:val="16"/>
              </w:rPr>
              <w:t>第0期</w:t>
            </w:r>
          </w:p>
        </w:tc>
        <w:tc>
          <w:tcPr>
            <w:tcW w:type="dxa" w:w="1361"/>
            <w:vAlign w:val="center"/>
            <w:tcMar>
              <w:top w:w="60" w:type="dxa"/>
              <w:start w:w="70" w:type="dxa"/>
              <w:bottom w:w="60" w:type="dxa"/>
              <w:end w:w="70" w:type="dxa"/>
            </w:tcMar>
          </w:tcPr>
          <w:p>
            <w:r/>
            <w:r>
              <w:rPr>
                <w:rFonts w:ascii="Noto Serif CJK SC" w:hAnsi="Noto Serif CJK SC" w:eastAsia="Noto Serif CJK SC"/>
                <w:b w:val="0"/>
                <w:color w:val="000000"/>
                <w:sz w:val="16"/>
              </w:rPr>
              <w:t>筹备论证</w:t>
            </w:r>
          </w:p>
        </w:tc>
        <w:tc>
          <w:tcPr>
            <w:tcW w:type="dxa" w:w="2494"/>
            <w:vAlign w:val="center"/>
            <w:tcMar>
              <w:top w:w="60" w:type="dxa"/>
              <w:start w:w="70" w:type="dxa"/>
              <w:bottom w:w="60" w:type="dxa"/>
              <w:end w:w="70" w:type="dxa"/>
            </w:tcMar>
          </w:tcPr>
          <w:p>
            <w:r/>
            <w:r>
              <w:rPr>
                <w:rFonts w:ascii="Noto Serif CJK SC" w:hAnsi="Noto Serif CJK SC" w:eastAsia="Noto Serif CJK SC"/>
                <w:b w:val="0"/>
                <w:color w:val="000000"/>
                <w:sz w:val="16"/>
              </w:rPr>
              <w:t>形成国家提案、候选地区、风险与基线方案</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6"/>
              </w:rPr>
              <w:t>法律可行性初审；候选区数据可得；权利影响评估完成</w:t>
            </w:r>
          </w:p>
        </w:tc>
        <w:tc>
          <w:tcPr>
            <w:tcW w:type="dxa" w:w="2268"/>
            <w:vAlign w:val="center"/>
            <w:tcMar>
              <w:top w:w="60" w:type="dxa"/>
              <w:start w:w="70" w:type="dxa"/>
              <w:bottom w:w="60" w:type="dxa"/>
              <w:end w:w="70" w:type="dxa"/>
            </w:tcMar>
          </w:tcPr>
          <w:p>
            <w:r/>
            <w:r>
              <w:rPr>
                <w:rFonts w:ascii="Noto Serif CJK SC" w:hAnsi="Noto Serif CJK SC" w:eastAsia="Noto Serif CJK SC"/>
                <w:b w:val="0"/>
                <w:color w:val="000000"/>
                <w:sz w:val="16"/>
              </w:rPr>
              <w:t>E001、选址报告、基线字典、公众说明</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5"/>
              </w:rPr>
              <w:t>启动期</w:t>
            </w:r>
          </w:p>
        </w:tc>
      </w:tr>
      <w:tr>
        <w:trPr>
          <w:cantSplit/>
          <w:cantSplit/>
        </w:trPr>
        <w:tc>
          <w:tcPr>
            <w:tcW w:type="dxa" w:w="7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第1期</w:t>
            </w:r>
          </w:p>
        </w:tc>
        <w:tc>
          <w:tcPr>
            <w:tcW w:type="dxa" w:w="136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授权与建制</w:t>
            </w:r>
          </w:p>
        </w:tc>
        <w:tc>
          <w:tcPr>
            <w:tcW w:type="dxa" w:w="24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明确授权、组织、权利、审计与退出</w:t>
            </w:r>
          </w:p>
        </w:tc>
        <w:tc>
          <w:tcPr>
            <w:tcW w:type="dxa" w:w="3175"/>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授权范围清楚；独立审计与申诉机构成立；公众承诺发布</w:t>
            </w:r>
          </w:p>
        </w:tc>
        <w:tc>
          <w:tcPr>
            <w:tcW w:type="dxa" w:w="226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授权框架、治理章程、权利与退出规则</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启动期</w:t>
            </w:r>
          </w:p>
        </w:tc>
      </w:tr>
      <w:tr>
        <w:trPr>
          <w:cantSplit/>
          <w:cantSplit/>
        </w:trPr>
        <w:tc>
          <w:tcPr>
            <w:tcW w:type="dxa" w:w="794"/>
            <w:vAlign w:val="center"/>
            <w:tcMar>
              <w:top w:w="60" w:type="dxa"/>
              <w:start w:w="70" w:type="dxa"/>
              <w:bottom w:w="60" w:type="dxa"/>
              <w:end w:w="70" w:type="dxa"/>
            </w:tcMar>
          </w:tcPr>
          <w:p>
            <w:r/>
            <w:r>
              <w:rPr>
                <w:rFonts w:ascii="Noto Serif CJK SC" w:hAnsi="Noto Serif CJK SC" w:eastAsia="Noto Serif CJK SC"/>
                <w:b w:val="0"/>
                <w:color w:val="000000"/>
                <w:sz w:val="16"/>
              </w:rPr>
              <w:t>第2期</w:t>
            </w:r>
          </w:p>
        </w:tc>
        <w:tc>
          <w:tcPr>
            <w:tcW w:type="dxa" w:w="1361"/>
            <w:vAlign w:val="center"/>
            <w:tcMar>
              <w:top w:w="60" w:type="dxa"/>
              <w:start w:w="70" w:type="dxa"/>
              <w:bottom w:w="60" w:type="dxa"/>
              <w:end w:w="70" w:type="dxa"/>
            </w:tcMar>
          </w:tcPr>
          <w:p>
            <w:r/>
            <w:r>
              <w:rPr>
                <w:rFonts w:ascii="Noto Serif CJK SC" w:hAnsi="Noto Serif CJK SC" w:eastAsia="Noto Serif CJK SC"/>
                <w:b w:val="0"/>
                <w:color w:val="000000"/>
                <w:sz w:val="16"/>
              </w:rPr>
              <w:t>底座建设</w:t>
            </w:r>
          </w:p>
        </w:tc>
        <w:tc>
          <w:tcPr>
            <w:tcW w:type="dxa" w:w="2494"/>
            <w:vAlign w:val="center"/>
            <w:tcMar>
              <w:top w:w="60" w:type="dxa"/>
              <w:start w:w="70" w:type="dxa"/>
              <w:bottom w:w="60" w:type="dxa"/>
              <w:end w:w="70" w:type="dxa"/>
            </w:tcMar>
          </w:tcPr>
          <w:p>
            <w:r/>
            <w:r>
              <w:rPr>
                <w:rFonts w:ascii="Noto Serif CJK SC" w:hAnsi="Noto Serif CJK SC" w:eastAsia="Noto Serif CJK SC"/>
                <w:b w:val="0"/>
                <w:color w:val="000000"/>
                <w:sz w:val="16"/>
              </w:rPr>
              <w:t>资源、贡献、智能、审计四大底座</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6"/>
              </w:rPr>
              <w:t>接口完成安全测试；数据最小化；人工复核与回滚可用</w:t>
            </w:r>
          </w:p>
        </w:tc>
        <w:tc>
          <w:tcPr>
            <w:tcW w:type="dxa" w:w="2268"/>
            <w:vAlign w:val="center"/>
            <w:tcMar>
              <w:top w:w="60" w:type="dxa"/>
              <w:start w:w="70" w:type="dxa"/>
              <w:bottom w:w="60" w:type="dxa"/>
              <w:end w:w="70" w:type="dxa"/>
            </w:tcMar>
          </w:tcPr>
          <w:p>
            <w:r/>
            <w:r>
              <w:rPr>
                <w:rFonts w:ascii="Noto Serif CJK SC" w:hAnsi="Noto Serif CJK SC" w:eastAsia="Noto Serif CJK SC"/>
                <w:b w:val="0"/>
                <w:color w:val="000000"/>
                <w:sz w:val="16"/>
              </w:rPr>
              <w:t>资源目录、影子账、平台原型、审计沙盒</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5"/>
              </w:rPr>
              <w:t>启动期</w:t>
            </w:r>
          </w:p>
        </w:tc>
      </w:tr>
      <w:tr>
        <w:trPr>
          <w:cantSplit/>
          <w:cantSplit/>
        </w:trPr>
        <w:tc>
          <w:tcPr>
            <w:tcW w:type="dxa" w:w="7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第2.5期</w:t>
            </w:r>
          </w:p>
        </w:tc>
        <w:tc>
          <w:tcPr>
            <w:tcW w:type="dxa" w:w="136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最小闭环</w:t>
            </w:r>
          </w:p>
        </w:tc>
        <w:tc>
          <w:tcPr>
            <w:tcW w:type="dxa" w:w="24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局部跑通资源共享+有限贡献确认+AGI辅助调度</w:t>
            </w:r>
          </w:p>
        </w:tc>
        <w:tc>
          <w:tcPr>
            <w:tcW w:type="dxa" w:w="3175"/>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不触发基本权利；客观锚定贡献可复核；参与者理解度达标</w:t>
            </w:r>
          </w:p>
        </w:tc>
        <w:tc>
          <w:tcPr>
            <w:tcW w:type="dxa" w:w="226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最小闭环报告、错误清单、修订协议</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初期</w:t>
            </w:r>
          </w:p>
        </w:tc>
      </w:tr>
      <w:tr>
        <w:trPr>
          <w:cantSplit/>
          <w:cantSplit/>
        </w:trPr>
        <w:tc>
          <w:tcPr>
            <w:tcW w:type="dxa" w:w="794"/>
            <w:vAlign w:val="center"/>
            <w:tcMar>
              <w:top w:w="60" w:type="dxa"/>
              <w:start w:w="70" w:type="dxa"/>
              <w:bottom w:w="60" w:type="dxa"/>
              <w:end w:w="70" w:type="dxa"/>
            </w:tcMar>
          </w:tcPr>
          <w:p>
            <w:r/>
            <w:r>
              <w:rPr>
                <w:rFonts w:ascii="Noto Serif CJK SC" w:hAnsi="Noto Serif CJK SC" w:eastAsia="Noto Serif CJK SC"/>
                <w:b w:val="0"/>
                <w:color w:val="000000"/>
                <w:sz w:val="16"/>
              </w:rPr>
              <w:t>第3期</w:t>
            </w:r>
          </w:p>
        </w:tc>
        <w:tc>
          <w:tcPr>
            <w:tcW w:type="dxa" w:w="1361"/>
            <w:vAlign w:val="center"/>
            <w:tcMar>
              <w:top w:w="60" w:type="dxa"/>
              <w:start w:w="70" w:type="dxa"/>
              <w:bottom w:w="60" w:type="dxa"/>
              <w:end w:w="70" w:type="dxa"/>
            </w:tcMar>
          </w:tcPr>
          <w:p>
            <w:r/>
            <w:r>
              <w:rPr>
                <w:rFonts w:ascii="Noto Serif CJK SC" w:hAnsi="Noto Serif CJK SC" w:eastAsia="Noto Serif CJK SC"/>
                <w:b w:val="0"/>
                <w:color w:val="000000"/>
                <w:sz w:val="16"/>
              </w:rPr>
              <w:t>局部完整运行</w:t>
            </w:r>
          </w:p>
        </w:tc>
        <w:tc>
          <w:tcPr>
            <w:tcW w:type="dxa" w:w="2494"/>
            <w:vAlign w:val="center"/>
            <w:tcMar>
              <w:top w:w="60" w:type="dxa"/>
              <w:start w:w="70" w:type="dxa"/>
              <w:bottom w:w="60" w:type="dxa"/>
              <w:end w:w="70" w:type="dxa"/>
            </w:tcMar>
          </w:tcPr>
          <w:p>
            <w:r/>
            <w:r>
              <w:rPr>
                <w:rFonts w:ascii="Noto Serif CJK SC" w:hAnsi="Noto Serif CJK SC" w:eastAsia="Noto Serif CJK SC"/>
                <w:b w:val="0"/>
                <w:color w:val="000000"/>
                <w:sz w:val="16"/>
              </w:rPr>
              <w:t>完整六系统在一个片区运行不少于两年</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6"/>
              </w:rPr>
              <w:t>三目标无显著净倒退；权利申诉可运行；财政与数据风险可控</w:t>
            </w:r>
          </w:p>
        </w:tc>
        <w:tc>
          <w:tcPr>
            <w:tcW w:type="dxa" w:w="2268"/>
            <w:vAlign w:val="center"/>
            <w:tcMar>
              <w:top w:w="60" w:type="dxa"/>
              <w:start w:w="70" w:type="dxa"/>
              <w:bottom w:w="60" w:type="dxa"/>
              <w:end w:w="70" w:type="dxa"/>
            </w:tcMar>
          </w:tcPr>
          <w:p>
            <w:r/>
            <w:r>
              <w:rPr>
                <w:rFonts w:ascii="Noto Serif CJK SC" w:hAnsi="Noto Serif CJK SC" w:eastAsia="Noto Serif CJK SC"/>
                <w:b w:val="0"/>
                <w:color w:val="000000"/>
                <w:sz w:val="16"/>
              </w:rPr>
              <w:t>年度实验报告、独立评审、阶段门裁决</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5"/>
              </w:rPr>
              <w:t>初期</w:t>
            </w:r>
          </w:p>
        </w:tc>
      </w:tr>
      <w:tr>
        <w:trPr>
          <w:cantSplit/>
          <w:cantSplit/>
        </w:trPr>
        <w:tc>
          <w:tcPr>
            <w:tcW w:type="dxa" w:w="7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第4期</w:t>
            </w:r>
          </w:p>
        </w:tc>
        <w:tc>
          <w:tcPr>
            <w:tcW w:type="dxa" w:w="136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城市级扩展</w:t>
            </w:r>
          </w:p>
        </w:tc>
        <w:tc>
          <w:tcPr>
            <w:tcW w:type="dxa" w:w="249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扩大至城市级多节点运行</w:t>
            </w:r>
          </w:p>
        </w:tc>
        <w:tc>
          <w:tcPr>
            <w:tcW w:type="dxa" w:w="3175"/>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跨节点互操作；弱节点能力增长；未出现不可逆权力集中</w:t>
            </w:r>
          </w:p>
        </w:tc>
        <w:tc>
          <w:tcPr>
            <w:tcW w:type="dxa" w:w="226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城市级扩展报告、对照比较、公众表决</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5"/>
              </w:rPr>
              <w:t>过渡期</w:t>
            </w:r>
          </w:p>
        </w:tc>
      </w:tr>
      <w:tr>
        <w:trPr>
          <w:cantSplit/>
          <w:cantSplit/>
        </w:trPr>
        <w:tc>
          <w:tcPr>
            <w:tcW w:type="dxa" w:w="794"/>
            <w:vAlign w:val="center"/>
            <w:tcMar>
              <w:top w:w="60" w:type="dxa"/>
              <w:start w:w="70" w:type="dxa"/>
              <w:bottom w:w="60" w:type="dxa"/>
              <w:end w:w="70" w:type="dxa"/>
            </w:tcMar>
          </w:tcPr>
          <w:p>
            <w:r/>
            <w:r>
              <w:rPr>
                <w:rFonts w:ascii="Noto Serif CJK SC" w:hAnsi="Noto Serif CJK SC" w:eastAsia="Noto Serif CJK SC"/>
                <w:b w:val="0"/>
                <w:color w:val="000000"/>
                <w:sz w:val="16"/>
              </w:rPr>
              <w:t>第5期</w:t>
            </w:r>
          </w:p>
        </w:tc>
        <w:tc>
          <w:tcPr>
            <w:tcW w:type="dxa" w:w="1361"/>
            <w:vAlign w:val="center"/>
            <w:tcMar>
              <w:top w:w="60" w:type="dxa"/>
              <w:start w:w="70" w:type="dxa"/>
              <w:bottom w:w="60" w:type="dxa"/>
              <w:end w:w="70" w:type="dxa"/>
            </w:tcMar>
          </w:tcPr>
          <w:p>
            <w:r/>
            <w:r>
              <w:rPr>
                <w:rFonts w:ascii="Noto Serif CJK SC" w:hAnsi="Noto Serif CJK SC" w:eastAsia="Noto Serif CJK SC"/>
                <w:b w:val="0"/>
                <w:color w:val="000000"/>
                <w:sz w:val="16"/>
              </w:rPr>
              <w:t>文明高地成型</w:t>
            </w:r>
          </w:p>
        </w:tc>
        <w:tc>
          <w:tcPr>
            <w:tcW w:type="dxa" w:w="2494"/>
            <w:vAlign w:val="center"/>
            <w:tcMar>
              <w:top w:w="60" w:type="dxa"/>
              <w:start w:w="70" w:type="dxa"/>
              <w:bottom w:w="60" w:type="dxa"/>
              <w:end w:w="70" w:type="dxa"/>
            </w:tcMar>
          </w:tcPr>
          <w:p>
            <w:r/>
            <w:r>
              <w:rPr>
                <w:rFonts w:ascii="Noto Serif CJK SC" w:hAnsi="Noto Serif CJK SC" w:eastAsia="Noto Serif CJK SC"/>
                <w:b w:val="0"/>
                <w:color w:val="000000"/>
                <w:sz w:val="16"/>
              </w:rPr>
              <w:t>形成可观察、可比较、可学习的完整样本</w:t>
            </w:r>
          </w:p>
        </w:tc>
        <w:tc>
          <w:tcPr>
            <w:tcW w:type="dxa" w:w="3175"/>
            <w:vAlign w:val="center"/>
            <w:tcMar>
              <w:top w:w="60" w:type="dxa"/>
              <w:start w:w="70" w:type="dxa"/>
              <w:bottom w:w="60" w:type="dxa"/>
              <w:end w:w="70" w:type="dxa"/>
            </w:tcMar>
          </w:tcPr>
          <w:p>
            <w:r/>
            <w:r>
              <w:rPr>
                <w:rFonts w:ascii="Noto Serif CJK SC" w:hAnsi="Noto Serif CJK SC" w:eastAsia="Noto Serif CJK SC"/>
                <w:b w:val="0"/>
                <w:color w:val="000000"/>
                <w:sz w:val="16"/>
              </w:rPr>
              <w:t>外部主体可独立核验；失败与退出真实可见；复制条件明确</w:t>
            </w:r>
          </w:p>
        </w:tc>
        <w:tc>
          <w:tcPr>
            <w:tcW w:type="dxa" w:w="2268"/>
            <w:vAlign w:val="center"/>
            <w:tcMar>
              <w:top w:w="60" w:type="dxa"/>
              <w:start w:w="70" w:type="dxa"/>
              <w:bottom w:w="60" w:type="dxa"/>
              <w:end w:w="70" w:type="dxa"/>
            </w:tcMar>
          </w:tcPr>
          <w:p>
            <w:r/>
            <w:r>
              <w:rPr>
                <w:rFonts w:ascii="Noto Serif CJK SC" w:hAnsi="Noto Serif CJK SC" w:eastAsia="Noto Serif CJK SC"/>
                <w:b w:val="0"/>
                <w:color w:val="000000"/>
                <w:sz w:val="16"/>
              </w:rPr>
              <w:t>高地证据包、复制边界、长期跟踪计划</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5"/>
              </w:rPr>
              <w:t>实验区稳定期入口</w:t>
            </w:r>
          </w:p>
        </w:tc>
      </w:tr>
    </w:tbl>
    <w:p/>
    <w:p>
      <w:pPr>
        <w:pStyle w:val="Heading2"/>
        <w:keepNext/>
        <w:keepLines/>
      </w:pPr>
      <w:r>
        <w:t>2.1 阶段门裁决</w:t>
      </w:r>
    </w:p>
    <w:p>
      <w:r>
        <w:t>阶段门的事实核验与方案建议由实验区办公室、审计与伦理委员会、人心与意义委员会和外部评审组分别完成；相位切换与升级属于文明航道级决策，必须提交适格居民一人一票表决，贡献值、财富、职位和专业资格清零。</w:t>
      </w:r>
    </w:p>
    <w:p>
      <w:r>
        <w:t>表决材料必须同时披露即时收益、各群体无损证明、失败与回滚方案、未解决风险、少数意见和“不升级”的替代路径。</w:t>
      </w:r>
    </w:p>
    <w:p>
      <w:pPr>
        <w:pStyle w:val="ListBullet"/>
        <w:keepLines/>
      </w:pPr>
      <w:r>
        <w:t>每次阶段门由实验区办公室提出材料，审计与伦理委员会核验事实，人心与意义委员会核验三目标，外部独立评审组提交少数意见。</w:t>
      </w:r>
    </w:p>
    <w:p>
      <w:pPr>
        <w:pStyle w:val="ListBullet"/>
        <w:keepLines/>
      </w:pPr>
      <w:r>
        <w:t>阶段门结论只有四种：通过；有条件通过；延长观察；停止并回滚。不得用“总体向好”替代明确裁决。</w:t>
      </w:r>
    </w:p>
    <w:p>
      <w:pPr>
        <w:pStyle w:val="ListBullet"/>
        <w:keepLines/>
      </w:pPr>
      <w:r>
        <w:t>任何一项刚性停止条件触发时，不得以其他指标补偿。</w:t>
      </w:r>
    </w:p>
    <w:p>
      <w:pPr>
        <w:pStyle w:val="ListBullet"/>
        <w:keepLines/>
      </w:pPr>
      <w:r>
        <w:t>阶段门结论、证据、反对意见和未决问题进入永久档案。</w:t>
      </w:r>
    </w:p>
    <w:p>
      <w:pPr>
        <w:pStyle w:val="Heading1"/>
        <w:keepNext/>
        <w:keepLines/>
        <w:pageBreakBefore/>
      </w:pPr>
      <w:r>
        <w:t>第三章　实验区选择与基线设计</w:t>
      </w:r>
    </w:p>
    <w:p>
      <w:pPr>
        <w:pStyle w:val="Heading2"/>
        <w:keepNext/>
        <w:keepLines/>
      </w:pPr>
      <w:r>
        <w:t>3.1 候选区最低条件</w:t>
      </w:r>
    </w:p>
    <w:p>
      <w:pPr>
        <w:pStyle w:val="ListBullet"/>
        <w:keepLines/>
      </w:pPr>
      <w:r>
        <w:t>拥有较完整的人口、产业、教育、医疗、住房、能源、交通、政务、社区与公共服务系统。</w:t>
      </w:r>
    </w:p>
    <w:p>
      <w:pPr>
        <w:pStyle w:val="ListBullet"/>
        <w:keepLines/>
      </w:pPr>
      <w:r>
        <w:t>具备国家级或高级别地方授权的现实可能，能够明确哪些事项可以试验、哪些事项不得越界。</w:t>
      </w:r>
    </w:p>
    <w:p>
      <w:pPr>
        <w:pStyle w:val="ListBullet"/>
        <w:keepLines/>
      </w:pPr>
      <w:r>
        <w:t>能够建立全域资源目录，但不以强制产权变更作为启动前提。</w:t>
      </w:r>
    </w:p>
    <w:p>
      <w:pPr>
        <w:pStyle w:val="ListBullet"/>
        <w:keepLines/>
      </w:pPr>
      <w:r>
        <w:t>具备基本数据能力、数据分域能力和独立审计条件。</w:t>
      </w:r>
    </w:p>
    <w:p>
      <w:pPr>
        <w:pStyle w:val="ListBullet"/>
        <w:keepLines/>
      </w:pPr>
      <w:r>
        <w:t>具备AGI应用基础，同时允许替代模型、本地部署和退出迁移。</w:t>
      </w:r>
    </w:p>
    <w:p>
      <w:pPr>
        <w:pStyle w:val="ListBullet"/>
        <w:keepLines/>
      </w:pPr>
      <w:r>
        <w:t>居民、企业与公共机构构成具有足够多样性，不是单一志愿群体。</w:t>
      </w:r>
    </w:p>
    <w:p>
      <w:pPr>
        <w:pStyle w:val="ListBullet"/>
        <w:keepLines/>
      </w:pPr>
      <w:r>
        <w:t>风险外溢可控，失败可局部消化。</w:t>
      </w:r>
    </w:p>
    <w:p>
      <w:pPr>
        <w:pStyle w:val="Heading2"/>
        <w:keepNext/>
        <w:keepLines/>
      </w:pPr>
      <w:r>
        <w:t>3.2 选址评分</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268"/>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模块</w:t>
            </w:r>
          </w:p>
        </w:tc>
        <w:tc>
          <w:tcPr>
            <w:tcW w:type="dxa" w:w="113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权重</w:t>
            </w:r>
          </w:p>
        </w:tc>
        <w:tc>
          <w:tcPr>
            <w:tcW w:type="dxa" w:w="6236"/>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最低观察内容</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授权与法治空间</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15</w:t>
            </w:r>
          </w:p>
        </w:tc>
        <w:tc>
          <w:tcPr>
            <w:tcW w:type="dxa" w:w="6236"/>
            <w:vAlign w:val="center"/>
            <w:tcMar>
              <w:top w:w="70" w:type="dxa"/>
              <w:start w:w="80" w:type="dxa"/>
              <w:bottom w:w="70" w:type="dxa"/>
              <w:end w:w="80" w:type="dxa"/>
            </w:tcMar>
          </w:tcPr>
          <w:p>
            <w:r/>
            <w:r>
              <w:rPr>
                <w:rFonts w:ascii="Noto Serif CJK SC" w:hAnsi="Noto Serif CJK SC" w:eastAsia="Noto Serif CJK SC"/>
                <w:b w:val="0"/>
                <w:color w:val="000000"/>
                <w:sz w:val="17"/>
              </w:rPr>
              <w:t>授权层级、法律沙盒、独立审计、退出可执行性</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社会系统完整度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15</w:t>
            </w:r>
          </w:p>
        </w:tc>
        <w:tc>
          <w:tcPr>
            <w:tcW w:type="dxa" w:w="6236"/>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人口结构、公共服务、产业、家庭与社区完整性</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资源共同体潜力</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15</w:t>
            </w:r>
          </w:p>
        </w:tc>
        <w:tc>
          <w:tcPr>
            <w:tcW w:type="dxa" w:w="6236"/>
            <w:vAlign w:val="center"/>
            <w:tcMar>
              <w:top w:w="70" w:type="dxa"/>
              <w:start w:w="80" w:type="dxa"/>
              <w:bottom w:w="70" w:type="dxa"/>
              <w:end w:w="80" w:type="dxa"/>
            </w:tcMar>
          </w:tcPr>
          <w:p>
            <w:r/>
            <w:r>
              <w:rPr>
                <w:rFonts w:ascii="Noto Serif CJK SC" w:hAnsi="Noto Serif CJK SC" w:eastAsia="Noto Serif CJK SC"/>
                <w:b w:val="0"/>
                <w:color w:val="000000"/>
                <w:sz w:val="17"/>
              </w:rPr>
              <w:t>公共/企业/个人资源目录、闲置与短缺并存程度</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数据与技术基础</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10</w:t>
            </w:r>
          </w:p>
        </w:tc>
        <w:tc>
          <w:tcPr>
            <w:tcW w:type="dxa" w:w="6236"/>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数据质量、分域治理、本地模型和网络安全</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财政与运营能力</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10</w:t>
            </w:r>
          </w:p>
        </w:tc>
        <w:tc>
          <w:tcPr>
            <w:tcW w:type="dxa" w:w="6236"/>
            <w:vAlign w:val="center"/>
            <w:tcMar>
              <w:top w:w="70" w:type="dxa"/>
              <w:start w:w="80" w:type="dxa"/>
              <w:bottom w:w="70" w:type="dxa"/>
              <w:end w:w="80" w:type="dxa"/>
            </w:tcMar>
          </w:tcPr>
          <w:p>
            <w:r/>
            <w:r>
              <w:rPr>
                <w:rFonts w:ascii="Noto Serif CJK SC" w:hAnsi="Noto Serif CJK SC" w:eastAsia="Noto Serif CJK SC"/>
                <w:b w:val="0"/>
                <w:color w:val="000000"/>
                <w:sz w:val="17"/>
              </w:rPr>
              <w:t>预算平移、补充收益、缓冲资金与长期敏感性</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公众参与与信任</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10</w:t>
            </w:r>
          </w:p>
        </w:tc>
        <w:tc>
          <w:tcPr>
            <w:tcW w:type="dxa" w:w="6236"/>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听证能力、弱势群体代表、申诉与退出文化</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外部核验条件</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10</w:t>
            </w:r>
          </w:p>
        </w:tc>
        <w:tc>
          <w:tcPr>
            <w:tcW w:type="dxa" w:w="6236"/>
            <w:vAlign w:val="center"/>
            <w:tcMar>
              <w:top w:w="70" w:type="dxa"/>
              <w:start w:w="80" w:type="dxa"/>
              <w:bottom w:w="70" w:type="dxa"/>
              <w:end w:w="80" w:type="dxa"/>
            </w:tcMar>
          </w:tcPr>
          <w:p>
            <w:r/>
            <w:r>
              <w:rPr>
                <w:rFonts w:ascii="Noto Serif CJK SC" w:hAnsi="Noto Serif CJK SC" w:eastAsia="Noto Serif CJK SC"/>
                <w:b w:val="0"/>
                <w:color w:val="000000"/>
                <w:sz w:val="17"/>
              </w:rPr>
              <w:t>大学、审计机构、第三方数据托管和媒体监督</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风险外溢可控</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10</w:t>
            </w:r>
          </w:p>
        </w:tc>
        <w:tc>
          <w:tcPr>
            <w:tcW w:type="dxa" w:w="6236"/>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边界、熔断、回滚、应急与替代服务</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复制与比较价值</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5</w:t>
            </w:r>
          </w:p>
        </w:tc>
        <w:tc>
          <w:tcPr>
            <w:tcW w:type="dxa" w:w="6236"/>
            <w:vAlign w:val="center"/>
            <w:tcMar>
              <w:top w:w="70" w:type="dxa"/>
              <w:start w:w="80" w:type="dxa"/>
              <w:bottom w:w="70" w:type="dxa"/>
              <w:end w:w="80" w:type="dxa"/>
            </w:tcMar>
          </w:tcPr>
          <w:p>
            <w:r/>
            <w:r>
              <w:rPr>
                <w:rFonts w:ascii="Noto Serif CJK SC" w:hAnsi="Noto Serif CJK SC" w:eastAsia="Noto Serif CJK SC"/>
                <w:b w:val="0"/>
                <w:color w:val="000000"/>
                <w:sz w:val="17"/>
              </w:rPr>
              <w:t>同类城市可比性、对照区和外部学习价值</w:t>
            </w:r>
          </w:p>
        </w:tc>
      </w:tr>
    </w:tbl>
    <w:p/>
    <w:p>
      <w:pPr>
        <w:pStyle w:val="Heading2"/>
        <w:keepNext/>
        <w:keepLines/>
      </w:pPr>
      <w:r>
        <w:t>3.3 基线窗口</w:t>
      </w:r>
    </w:p>
    <w:p>
      <w:pPr>
        <w:keepLines/>
      </w:pPr>
      <w:r>
        <w:t>正式干预前至少完成12个月历史数据整理，并尽可能设置6—12个月前瞻基线观察期。基线不足时，不得用上线后的短期波动证明制度成功。重大政策、经济周期、人口变化、公共卫生事件和技术升级均须作为外生变量记录。</w:t>
      </w:r>
    </w:p>
    <w:p>
      <w:pPr>
        <w:pStyle w:val="Heading2"/>
        <w:keepNext/>
        <w:keepLines/>
      </w:pPr>
      <w:r>
        <w:t>3.4 比较与反事实</w:t>
      </w:r>
    </w:p>
    <w:p>
      <w:pPr>
        <w:keepLines/>
      </w:pPr>
      <w:r>
        <w:t>城市级社会实验通常不适合简单随机对照。E001采用多方法反事实设计：历史基线、同类城市匹配、分阶段上线、不同片区差异化实施、合成控制、过程追踪、居民面板与独立质性评审。任何单一模型不得垄断结论。</w:t>
      </w:r>
    </w:p>
    <w:tbl>
      <w:tblPr>
        <w:tblStyle w:val="TableGrid"/>
        <w:tblW w:type="auto" w:w="0"/>
        <w:jc w:val="center"/>
        <w:tblLook w:firstColumn="1" w:firstRow="1" w:lastColumn="0" w:lastRow="0" w:noHBand="0" w:noVBand="1" w:val="04A0"/>
      </w:tblPr>
      <w:tblGrid>
        <w:gridCol w:w="2465"/>
        <w:gridCol w:w="2465"/>
        <w:gridCol w:w="2465"/>
        <w:gridCol w:w="2465"/>
      </w:tblGrid>
      <w:tr>
        <w:trPr>
          <w:tblHeader w:val="true"/>
          <w:cantSplit/>
        </w:trPr>
        <w:tc>
          <w:tcPr>
            <w:tcW w:type="dxa" w:w="1701"/>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方法</w:t>
            </w:r>
          </w:p>
        </w:tc>
        <w:tc>
          <w:tcPr>
            <w:tcW w:type="dxa" w:w="2268"/>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用途</w:t>
            </w:r>
          </w:p>
        </w:tc>
        <w:tc>
          <w:tcPr>
            <w:tcW w:type="dxa" w:w="2381"/>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主要限制</w:t>
            </w:r>
          </w:p>
        </w:tc>
        <w:tc>
          <w:tcPr>
            <w:tcW w:type="dxa" w:w="3402"/>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控制方式</w:t>
            </w:r>
          </w:p>
        </w:tc>
      </w:tr>
      <w:tr>
        <w:trPr>
          <w:cantSplit/>
        </w:trPr>
        <w:tc>
          <w:tcPr>
            <w:tcW w:type="dxa" w:w="1701"/>
            <w:vAlign w:val="center"/>
            <w:tcMar>
              <w:top w:w="70" w:type="dxa"/>
              <w:start w:w="80" w:type="dxa"/>
              <w:bottom w:w="70" w:type="dxa"/>
              <w:end w:w="80" w:type="dxa"/>
            </w:tcMar>
          </w:tcPr>
          <w:p>
            <w:r/>
            <w:r>
              <w:rPr>
                <w:rFonts w:ascii="Noto Serif CJK SC" w:hAnsi="Noto Serif CJK SC" w:eastAsia="Noto Serif CJK SC"/>
                <w:b w:val="0"/>
                <w:color w:val="000000"/>
                <w:sz w:val="16"/>
              </w:rPr>
              <w:t>历史基线</w:t>
            </w:r>
          </w:p>
        </w:tc>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6"/>
              </w:rPr>
              <w:t>观察干预前后变化</w:t>
            </w:r>
          </w:p>
        </w:tc>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受宏观周期影响</w:t>
            </w:r>
          </w:p>
        </w:tc>
        <w:tc>
          <w:tcPr>
            <w:tcW w:type="dxa" w:w="3402"/>
            <w:vAlign w:val="center"/>
            <w:tcMar>
              <w:top w:w="70" w:type="dxa"/>
              <w:start w:w="80" w:type="dxa"/>
              <w:bottom w:w="70" w:type="dxa"/>
              <w:end w:w="80" w:type="dxa"/>
            </w:tcMar>
          </w:tcPr>
          <w:p>
            <w:r/>
            <w:r>
              <w:rPr>
                <w:rFonts w:ascii="Noto Serif CJK SC" w:hAnsi="Noto Serif CJK SC" w:eastAsia="Noto Serif CJK SC"/>
                <w:b w:val="0"/>
                <w:color w:val="000000"/>
                <w:sz w:val="16"/>
              </w:rPr>
              <w:t>记录外生事件并进行中断时间序列分析</w:t>
            </w:r>
          </w:p>
        </w:tc>
      </w:tr>
      <w:tr>
        <w:trPr>
          <w:cantSplit/>
        </w:trPr>
        <w:tc>
          <w:tcPr>
            <w:tcW w:type="dxa" w:w="170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匹配城市/片区</w:t>
            </w:r>
          </w:p>
        </w:tc>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比较相似地区变化</w:t>
            </w:r>
          </w:p>
        </w:tc>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无法完全匹配隐变量</w:t>
            </w:r>
          </w:p>
        </w:tc>
        <w:tc>
          <w:tcPr>
            <w:tcW w:type="dxa" w:w="3402"/>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公开匹配标准与敏感性分析</w:t>
            </w:r>
          </w:p>
        </w:tc>
      </w:tr>
      <w:tr>
        <w:trPr>
          <w:cantSplit/>
        </w:trPr>
        <w:tc>
          <w:tcPr>
            <w:tcW w:type="dxa" w:w="1701"/>
            <w:vAlign w:val="center"/>
            <w:tcMar>
              <w:top w:w="70" w:type="dxa"/>
              <w:start w:w="80" w:type="dxa"/>
              <w:bottom w:w="70" w:type="dxa"/>
              <w:end w:w="80" w:type="dxa"/>
            </w:tcMar>
          </w:tcPr>
          <w:p>
            <w:r/>
            <w:r>
              <w:rPr>
                <w:rFonts w:ascii="Noto Serif CJK SC" w:hAnsi="Noto Serif CJK SC" w:eastAsia="Noto Serif CJK SC"/>
                <w:b w:val="0"/>
                <w:color w:val="000000"/>
                <w:sz w:val="16"/>
              </w:rPr>
              <w:t>分阶段上线</w:t>
            </w:r>
          </w:p>
        </w:tc>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6"/>
              </w:rPr>
              <w:t>比较先后进入节点</w:t>
            </w:r>
          </w:p>
        </w:tc>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可能存在溢出效应</w:t>
            </w:r>
          </w:p>
        </w:tc>
        <w:tc>
          <w:tcPr>
            <w:tcW w:type="dxa" w:w="3402"/>
            <w:vAlign w:val="center"/>
            <w:tcMar>
              <w:top w:w="70" w:type="dxa"/>
              <w:start w:w="80" w:type="dxa"/>
              <w:bottom w:w="70" w:type="dxa"/>
              <w:end w:w="80" w:type="dxa"/>
            </w:tcMar>
          </w:tcPr>
          <w:p>
            <w:r/>
            <w:r>
              <w:rPr>
                <w:rFonts w:ascii="Noto Serif CJK SC" w:hAnsi="Noto Serif CJK SC" w:eastAsia="Noto Serif CJK SC"/>
                <w:b w:val="0"/>
                <w:color w:val="000000"/>
                <w:sz w:val="16"/>
              </w:rPr>
              <w:t>记录跨区流动与信息扩散</w:t>
            </w:r>
          </w:p>
        </w:tc>
      </w:tr>
      <w:tr>
        <w:trPr>
          <w:cantSplit/>
        </w:trPr>
        <w:tc>
          <w:tcPr>
            <w:tcW w:type="dxa" w:w="170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合成控制</w:t>
            </w:r>
          </w:p>
        </w:tc>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构造统计反事实</w:t>
            </w:r>
          </w:p>
        </w:tc>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依赖数据质量</w:t>
            </w:r>
          </w:p>
        </w:tc>
        <w:tc>
          <w:tcPr>
            <w:tcW w:type="dxa" w:w="3402"/>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多模型并列、公开权重</w:t>
            </w:r>
          </w:p>
        </w:tc>
      </w:tr>
      <w:tr>
        <w:trPr>
          <w:cantSplit/>
        </w:trPr>
        <w:tc>
          <w:tcPr>
            <w:tcW w:type="dxa" w:w="1701"/>
            <w:vAlign w:val="center"/>
            <w:tcMar>
              <w:top w:w="70" w:type="dxa"/>
              <w:start w:w="80" w:type="dxa"/>
              <w:bottom w:w="70" w:type="dxa"/>
              <w:end w:w="80" w:type="dxa"/>
            </w:tcMar>
          </w:tcPr>
          <w:p>
            <w:r/>
            <w:r>
              <w:rPr>
                <w:rFonts w:ascii="Noto Serif CJK SC" w:hAnsi="Noto Serif CJK SC" w:eastAsia="Noto Serif CJK SC"/>
                <w:b w:val="0"/>
                <w:color w:val="000000"/>
                <w:sz w:val="16"/>
              </w:rPr>
              <w:t>居民面板</w:t>
            </w:r>
          </w:p>
        </w:tc>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6"/>
              </w:rPr>
              <w:t>观察同一人的长期体验</w:t>
            </w:r>
          </w:p>
        </w:tc>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6"/>
              </w:rPr>
              <w:t>失访和选择偏差</w:t>
            </w:r>
          </w:p>
        </w:tc>
        <w:tc>
          <w:tcPr>
            <w:tcW w:type="dxa" w:w="3402"/>
            <w:vAlign w:val="center"/>
            <w:tcMar>
              <w:top w:w="70" w:type="dxa"/>
              <w:start w:w="80" w:type="dxa"/>
              <w:bottom w:w="70" w:type="dxa"/>
              <w:end w:w="80" w:type="dxa"/>
            </w:tcMar>
          </w:tcPr>
          <w:p>
            <w:r/>
            <w:r>
              <w:rPr>
                <w:rFonts w:ascii="Noto Serif CJK SC" w:hAnsi="Noto Serif CJK SC" w:eastAsia="Noto Serif CJK SC"/>
                <w:b w:val="0"/>
                <w:color w:val="000000"/>
                <w:sz w:val="16"/>
              </w:rPr>
              <w:t>补样、权重调整、退出原因记录</w:t>
            </w:r>
          </w:p>
        </w:tc>
      </w:tr>
      <w:tr>
        <w:trPr>
          <w:cantSplit/>
        </w:trPr>
        <w:tc>
          <w:tcPr>
            <w:tcW w:type="dxa" w:w="170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质性过程追踪</w:t>
            </w:r>
          </w:p>
        </w:tc>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识别因果机制与人心变化</w:t>
            </w:r>
          </w:p>
        </w:tc>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难以规模化</w:t>
            </w:r>
          </w:p>
        </w:tc>
        <w:tc>
          <w:tcPr>
            <w:tcW w:type="dxa" w:w="3402"/>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独立团队、反例优先、原始材料留存</w:t>
            </w:r>
          </w:p>
        </w:tc>
      </w:tr>
    </w:tbl>
    <w:p/>
    <w:p>
      <w:pPr>
        <w:pStyle w:val="Heading1"/>
        <w:keepNext/>
        <w:keepLines/>
        <w:pageBreakBefore/>
      </w:pPr>
      <w:r>
        <w:t>第四章　六大系统的实验干预包</w:t>
      </w:r>
    </w:p>
    <w:tbl>
      <w:tblPr>
        <w:tblStyle w:val="TableGrid"/>
        <w:tblW w:type="auto" w:w="0"/>
        <w:jc w:val="center"/>
        <w:tblLook w:firstColumn="1" w:firstRow="1" w:lastColumn="0" w:lastRow="0" w:noHBand="0" w:noVBand="1" w:val="04A0"/>
      </w:tblPr>
      <w:tblGrid>
        <w:gridCol w:w="2465"/>
        <w:gridCol w:w="2465"/>
        <w:gridCol w:w="2465"/>
        <w:gridCol w:w="2465"/>
        <w:gridCol w:w="1701"/>
      </w:tblGrid>
      <w:tr>
        <w:trPr>
          <w:tblHeader w:val="true"/>
          <w:cantSplit/>
          <w:tblHeader w:val="true"/>
          <w:cantSplit/>
        </w:trPr>
        <w:tc>
          <w:tcPr>
            <w:tcW w:type="dxa" w:w="181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系统</w:t>
            </w:r>
          </w:p>
        </w:tc>
        <w:tc>
          <w:tcPr>
            <w:tcW w:type="dxa" w:w="3118"/>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首轮干预</w:t>
            </w:r>
          </w:p>
        </w:tc>
        <w:tc>
          <w:tcPr>
            <w:tcW w:type="dxa" w:w="2721"/>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主要验证</w:t>
            </w:r>
          </w:p>
        </w:tc>
        <w:tc>
          <w:tcPr>
            <w:tcW w:type="dxa" w:w="2948"/>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刚性边界</w:t>
            </w:r>
          </w:p>
        </w:tc>
        <w:tc>
          <w:tcPr>
            <w:tcW w:type="dxa" w:w="1701"/>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4"/>
              </w:rPr>
              <w:t>相位形态</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基础生存保障</w:t>
            </w:r>
          </w:p>
        </w:tc>
        <w:tc>
          <w:tcPr>
            <w:tcW w:type="dxa" w:w="3118"/>
            <w:vAlign w:val="center"/>
            <w:tcMar>
              <w:top w:w="60" w:type="dxa"/>
              <w:start w:w="70" w:type="dxa"/>
              <w:bottom w:w="60" w:type="dxa"/>
              <w:end w:w="70" w:type="dxa"/>
            </w:tcMar>
          </w:tcPr>
          <w:p>
            <w:r/>
            <w:r>
              <w:rPr>
                <w:rFonts w:ascii="Noto Serif CJK SC" w:hAnsi="Noto Serif CJK SC" w:eastAsia="Noto Serif CJK SC"/>
                <w:b w:val="0"/>
                <w:color w:val="000000"/>
                <w:sz w:val="16"/>
              </w:rPr>
              <w:t>基础服务包、非羞辱性申请、财政三层结构、承载力预警</w:t>
            </w:r>
          </w:p>
        </w:tc>
        <w:tc>
          <w:tcPr>
            <w:tcW w:type="dxa" w:w="2721"/>
            <w:vAlign w:val="center"/>
            <w:tcMar>
              <w:top w:w="60" w:type="dxa"/>
              <w:start w:w="70" w:type="dxa"/>
              <w:bottom w:w="60" w:type="dxa"/>
              <w:end w:w="70" w:type="dxa"/>
            </w:tcMar>
          </w:tcPr>
          <w:p>
            <w:r/>
            <w:r>
              <w:rPr>
                <w:rFonts w:ascii="Noto Serif CJK SC" w:hAnsi="Noto Serif CJK SC" w:eastAsia="Noto Serif CJK SC"/>
                <w:b w:val="0"/>
                <w:color w:val="000000"/>
                <w:sz w:val="16"/>
              </w:rPr>
              <w:t>生存焦虑、可及性、财政可持续、非羞辱体验</w:t>
            </w:r>
          </w:p>
        </w:tc>
        <w:tc>
          <w:tcPr>
            <w:tcW w:type="dxa" w:w="2948"/>
            <w:vAlign w:val="center"/>
            <w:tcMar>
              <w:top w:w="60" w:type="dxa"/>
              <w:start w:w="70" w:type="dxa"/>
              <w:bottom w:w="60" w:type="dxa"/>
              <w:end w:w="70" w:type="dxa"/>
            </w:tcMar>
          </w:tcPr>
          <w:p>
            <w:r/>
            <w:r>
              <w:rPr>
                <w:rFonts w:ascii="Noto Serif CJK SC" w:hAnsi="Noto Serif CJK SC" w:eastAsia="Noto Serif CJK SC"/>
                <w:b w:val="0"/>
                <w:color w:val="000000"/>
                <w:sz w:val="16"/>
              </w:rPr>
              <w:t>不得读取贡献值决定基本权利</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4"/>
              </w:rPr>
              <w:t>启动期仅公布保障方向与自愿入口；初期验证非羞辱服务；过渡期扩展；稳定期宪制托底。</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城市资源池</w:t>
            </w:r>
          </w:p>
        </w:tc>
        <w:tc>
          <w:tcPr>
            <w:tcW w:type="dxa" w:w="311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资源目录、使用权授权、公共池/私用池、审计与再配置</w:t>
            </w:r>
          </w:p>
        </w:tc>
        <w:tc>
          <w:tcPr>
            <w:tcW w:type="dxa" w:w="272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闲置转化、匹配效率、损耗、退出、所有权争议</w:t>
            </w:r>
          </w:p>
        </w:tc>
        <w:tc>
          <w:tcPr>
            <w:tcW w:type="dxa" w:w="294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启动期不预设强制所有权变更</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4"/>
              </w:rPr>
              <w:t>启动期目录+自愿授权；初期限域调度；过渡期多节点；稳定期形成完整规则。</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贡献值与治理信用</w:t>
            </w:r>
          </w:p>
        </w:tc>
        <w:tc>
          <w:tcPr>
            <w:tcW w:type="dxa" w:w="3118"/>
            <w:vAlign w:val="center"/>
            <w:tcMar>
              <w:top w:w="60" w:type="dxa"/>
              <w:start w:w="70" w:type="dxa"/>
              <w:bottom w:w="60" w:type="dxa"/>
              <w:end w:w="70" w:type="dxa"/>
            </w:tcMar>
          </w:tcPr>
          <w:p>
            <w:r/>
            <w:r>
              <w:rPr>
                <w:rFonts w:ascii="Noto Serif CJK SC" w:hAnsi="Noto Serif CJK SC" w:eastAsia="Noto Serif CJK SC"/>
                <w:b w:val="0"/>
                <w:color w:val="000000"/>
                <w:sz w:val="16"/>
              </w:rPr>
              <w:t>客观锚定贡献影子账、领域化记录、用途限定、继承试验</w:t>
            </w:r>
          </w:p>
        </w:tc>
        <w:tc>
          <w:tcPr>
            <w:tcW w:type="dxa" w:w="2721"/>
            <w:vAlign w:val="center"/>
            <w:tcMar>
              <w:top w:w="60" w:type="dxa"/>
              <w:start w:w="70" w:type="dxa"/>
              <w:bottom w:w="60" w:type="dxa"/>
              <w:end w:w="70" w:type="dxa"/>
            </w:tcMar>
          </w:tcPr>
          <w:p>
            <w:r/>
            <w:r>
              <w:rPr>
                <w:rFonts w:ascii="Noto Serif CJK SC" w:hAnsi="Noto Serif CJK SC" w:eastAsia="Noto Serif CJK SC"/>
                <w:b w:val="0"/>
                <w:color w:val="000000"/>
                <w:sz w:val="16"/>
              </w:rPr>
              <w:t>识别准确度、跨域误用、套利、公众理解</w:t>
            </w:r>
          </w:p>
        </w:tc>
        <w:tc>
          <w:tcPr>
            <w:tcW w:type="dxa" w:w="2948"/>
            <w:vAlign w:val="center"/>
            <w:tcMar>
              <w:top w:w="60" w:type="dxa"/>
              <w:start w:w="70" w:type="dxa"/>
              <w:bottom w:w="60" w:type="dxa"/>
              <w:end w:w="70" w:type="dxa"/>
            </w:tcMar>
          </w:tcPr>
          <w:p>
            <w:r/>
            <w:r>
              <w:rPr>
                <w:rFonts w:ascii="Noto Serif CJK SC" w:hAnsi="Noto Serif CJK SC" w:eastAsia="Noto Serif CJK SC"/>
                <w:b w:val="0"/>
                <w:color w:val="000000"/>
                <w:sz w:val="16"/>
              </w:rPr>
              <w:t>不建立人格总分；影子期不影响权利</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4"/>
              </w:rPr>
              <w:t>启动期自愿影子账；初期客观锚定试验；过渡期扩大但不惩罚未加入者；稳定期全域仍守防火墙。</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三权分离治理</w:t>
            </w:r>
          </w:p>
        </w:tc>
        <w:tc>
          <w:tcPr>
            <w:tcW w:type="dxa" w:w="311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资源使用、领域决策、文明表决的权限矩阵</w:t>
            </w:r>
          </w:p>
        </w:tc>
        <w:tc>
          <w:tcPr>
            <w:tcW w:type="dxa" w:w="272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越权事件、表决质量、专业责任、熔断</w:t>
            </w:r>
          </w:p>
        </w:tc>
        <w:tc>
          <w:tcPr>
            <w:tcW w:type="dxa" w:w="294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不可逆事项一人一票；专业资格不可继承</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4"/>
              </w:rPr>
              <w:t>启动期先锁启动/终止权；初期验证三权；过渡期多中心；稳定期宪制化。</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AGI辅助治理</w:t>
            </w:r>
          </w:p>
        </w:tc>
        <w:tc>
          <w:tcPr>
            <w:tcW w:type="dxa" w:w="3118"/>
            <w:vAlign w:val="center"/>
            <w:tcMar>
              <w:top w:w="60" w:type="dxa"/>
              <w:start w:w="70" w:type="dxa"/>
              <w:bottom w:w="60" w:type="dxa"/>
              <w:end w:w="70" w:type="dxa"/>
            </w:tcMar>
          </w:tcPr>
          <w:p>
            <w:r/>
            <w:r>
              <w:rPr>
                <w:rFonts w:ascii="Noto Serif CJK SC" w:hAnsi="Noto Serif CJK SC" w:eastAsia="Noto Serif CJK SC"/>
                <w:b w:val="0"/>
                <w:color w:val="000000"/>
                <w:sz w:val="16"/>
              </w:rPr>
              <w:t>风险感知、供需匹配、政策模拟、解释与人工复核</w:t>
            </w:r>
          </w:p>
        </w:tc>
        <w:tc>
          <w:tcPr>
            <w:tcW w:type="dxa" w:w="2721"/>
            <w:vAlign w:val="center"/>
            <w:tcMar>
              <w:top w:w="60" w:type="dxa"/>
              <w:start w:w="70" w:type="dxa"/>
              <w:bottom w:w="60" w:type="dxa"/>
              <w:end w:w="70" w:type="dxa"/>
            </w:tcMar>
          </w:tcPr>
          <w:p>
            <w:r/>
            <w:r>
              <w:rPr>
                <w:rFonts w:ascii="Noto Serif CJK SC" w:hAnsi="Noto Serif CJK SC" w:eastAsia="Noto Serif CJK SC"/>
                <w:b w:val="0"/>
                <w:color w:val="000000"/>
                <w:sz w:val="16"/>
              </w:rPr>
              <w:t>准确性、偏差、人工否决、迁移、依赖</w:t>
            </w:r>
          </w:p>
        </w:tc>
        <w:tc>
          <w:tcPr>
            <w:tcW w:type="dxa" w:w="2948"/>
            <w:vAlign w:val="center"/>
            <w:tcMar>
              <w:top w:w="60" w:type="dxa"/>
              <w:start w:w="70" w:type="dxa"/>
              <w:bottom w:w="60" w:type="dxa"/>
              <w:end w:w="70" w:type="dxa"/>
            </w:tcMar>
          </w:tcPr>
          <w:p>
            <w:r/>
            <w:r>
              <w:rPr>
                <w:rFonts w:ascii="Noto Serif CJK SC" w:hAnsi="Noto Serif CJK SC" w:eastAsia="Noto Serif CJK SC"/>
                <w:b w:val="0"/>
                <w:color w:val="000000"/>
                <w:sz w:val="16"/>
              </w:rPr>
              <w:t>人类终审；数据不默认回传；可替代</w:t>
            </w:r>
          </w:p>
        </w:tc>
        <w:tc>
          <w:tcPr>
            <w:tcW w:type="dxa" w:w="1701"/>
            <w:vAlign w:val="center"/>
            <w:tcMar>
              <w:top w:w="60" w:type="dxa"/>
              <w:start w:w="70" w:type="dxa"/>
              <w:bottom w:w="60" w:type="dxa"/>
              <w:end w:w="70" w:type="dxa"/>
            </w:tcMar>
          </w:tcPr>
          <w:p>
            <w:r/>
            <w:r>
              <w:rPr>
                <w:rFonts w:ascii="Noto Serif CJK SC" w:hAnsi="Noto Serif CJK SC" w:eastAsia="Noto Serif CJK SC"/>
                <w:b w:val="0"/>
                <w:color w:val="000000"/>
                <w:sz w:val="14"/>
              </w:rPr>
              <w:t>启动期自愿可替代工具；初期限定试验；过渡期本地能力扩展；稳定期公共智能托底。</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意义涌现与人心</w:t>
            </w:r>
          </w:p>
        </w:tc>
        <w:tc>
          <w:tcPr>
            <w:tcW w:type="dxa" w:w="311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居民面板、照护认可、关系质量、意义回应影子账</w:t>
            </w:r>
          </w:p>
        </w:tc>
        <w:tc>
          <w:tcPr>
            <w:tcW w:type="dxa" w:w="2721"/>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孤独、价值感、被需要焦虑、强迫反馈风险</w:t>
            </w:r>
          </w:p>
        </w:tc>
        <w:tc>
          <w:tcPr>
            <w:tcW w:type="dxa" w:w="2948"/>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受助者可不反馈；不把情感转为惩罚性数据</w:t>
            </w:r>
          </w:p>
        </w:tc>
        <w:tc>
          <w:tcPr>
            <w:tcW w:type="dxa" w:w="1701"/>
            <w:vAlign w:val="center"/>
            <w:shd w:fill="EEF4F8"/>
            <w:tcMar>
              <w:top w:w="60" w:type="dxa"/>
              <w:start w:w="70" w:type="dxa"/>
              <w:bottom w:w="60" w:type="dxa"/>
              <w:end w:w="70" w:type="dxa"/>
            </w:tcMar>
          </w:tcPr>
          <w:p>
            <w:r/>
            <w:r>
              <w:rPr>
                <w:rFonts w:ascii="Noto Serif CJK SC" w:hAnsi="Noto Serif CJK SC" w:eastAsia="Noto Serif CJK SC"/>
                <w:b w:val="0"/>
                <w:color w:val="000000"/>
                <w:sz w:val="14"/>
              </w:rPr>
              <w:t>启动期意义承接入口；初期影子观察；过渡期社会化扩展；稳定期保护存在性价值。</w:t>
            </w:r>
          </w:p>
        </w:tc>
      </w:tr>
    </w:tbl>
    <w:p/>
    <w:p>
      <w:pPr>
        <w:pStyle w:val="Heading1"/>
        <w:keepNext/>
        <w:keepLines/>
        <w:pageBreakBefore/>
      </w:pPr>
      <w:r>
        <w:t>第五章　指标、数据与分析计划</w:t>
      </w:r>
    </w:p>
    <w:p>
      <w:pPr>
        <w:pStyle w:val="Heading2"/>
        <w:keepNext/>
        <w:keepLines/>
      </w:pPr>
      <w:r>
        <w:t>5.1 三层指标体系</w:t>
      </w:r>
    </w:p>
    <w:tbl>
      <w:tblPr>
        <w:tblStyle w:val="TableGrid"/>
        <w:tblW w:type="auto" w:w="0"/>
        <w:jc w:val="center"/>
        <w:tblLook w:firstColumn="1" w:firstRow="1" w:lastColumn="0" w:lastRow="0" w:noHBand="0" w:noVBand="1" w:val="04A0"/>
      </w:tblPr>
      <w:tblGrid>
        <w:gridCol w:w="2465"/>
        <w:gridCol w:w="2465"/>
        <w:gridCol w:w="2465"/>
        <w:gridCol w:w="2465"/>
      </w:tblGrid>
      <w:tr>
        <w:trPr>
          <w:tblHeader w:val="true"/>
          <w:cantSplit/>
        </w:trPr>
        <w:tc>
          <w:tcPr>
            <w:tcW w:type="dxa" w:w="181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层级</w:t>
            </w:r>
          </w:p>
        </w:tc>
        <w:tc>
          <w:tcPr>
            <w:tcW w:type="dxa" w:w="2948"/>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用途</w:t>
            </w:r>
          </w:p>
        </w:tc>
        <w:tc>
          <w:tcPr>
            <w:tcW w:type="dxa" w:w="3402"/>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示例</w:t>
            </w:r>
          </w:p>
        </w:tc>
        <w:tc>
          <w:tcPr>
            <w:tcW w:type="dxa" w:w="2381"/>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不得用于</w:t>
            </w:r>
          </w:p>
        </w:tc>
      </w:tr>
      <w:tr>
        <w:trPr>
          <w:cantSplit/>
        </w:trPr>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7"/>
              </w:rPr>
              <w:t>元目标指标</w:t>
            </w:r>
          </w:p>
        </w:tc>
        <w:tc>
          <w:tcPr>
            <w:tcW w:type="dxa" w:w="2948"/>
            <w:vAlign w:val="center"/>
            <w:tcMar>
              <w:top w:w="70" w:type="dxa"/>
              <w:start w:w="80" w:type="dxa"/>
              <w:bottom w:w="70" w:type="dxa"/>
              <w:end w:w="80" w:type="dxa"/>
            </w:tcMar>
          </w:tcPr>
          <w:p>
            <w:r/>
            <w:r>
              <w:rPr>
                <w:rFonts w:ascii="Noto Serif CJK SC" w:hAnsi="Noto Serif CJK SC" w:eastAsia="Noto Serif CJK SC"/>
                <w:b w:val="0"/>
                <w:color w:val="000000"/>
                <w:sz w:val="17"/>
              </w:rPr>
              <w:t>判断人是否活得更安全、更幸福、更有意义</w:t>
            </w:r>
          </w:p>
        </w:tc>
        <w:tc>
          <w:tcPr>
            <w:tcW w:type="dxa" w:w="3402"/>
            <w:vAlign w:val="center"/>
            <w:tcMar>
              <w:top w:w="70" w:type="dxa"/>
              <w:start w:w="80" w:type="dxa"/>
              <w:bottom w:w="70" w:type="dxa"/>
              <w:end w:w="80" w:type="dxa"/>
            </w:tcMar>
          </w:tcPr>
          <w:p>
            <w:r/>
            <w:r>
              <w:rPr>
                <w:rFonts w:ascii="Noto Serif CJK SC" w:hAnsi="Noto Serif CJK SC" w:eastAsia="Noto Serif CJK SC"/>
                <w:b w:val="0"/>
                <w:color w:val="000000"/>
                <w:sz w:val="17"/>
              </w:rPr>
              <w:t>生存焦虑、生活稳定、意义感、未来预期</w:t>
            </w:r>
          </w:p>
        </w:tc>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7"/>
              </w:rPr>
              <w:t>个人排名、政治宣传单一总分</w:t>
            </w:r>
          </w:p>
        </w:tc>
      </w:tr>
      <w:tr>
        <w:trPr>
          <w:cantSplit/>
        </w:trPr>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机制指标</w:t>
            </w:r>
          </w:p>
        </w:tc>
        <w:tc>
          <w:tcPr>
            <w:tcW w:type="dxa" w:w="294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判断资源、贡献、权力和智能机制是否按预期运行</w:t>
            </w:r>
          </w:p>
        </w:tc>
        <w:tc>
          <w:tcPr>
            <w:tcW w:type="dxa" w:w="3402"/>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闲置转化、申诉成功、人工否决、迁移时间</w:t>
            </w:r>
          </w:p>
        </w:tc>
        <w:tc>
          <w:tcPr>
            <w:tcW w:type="dxa" w:w="2381"/>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替代元目标结论</w:t>
            </w:r>
          </w:p>
        </w:tc>
      </w:tr>
      <w:tr>
        <w:trPr>
          <w:cantSplit/>
        </w:trPr>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7"/>
              </w:rPr>
              <w:t>防腐指标</w:t>
            </w:r>
          </w:p>
        </w:tc>
        <w:tc>
          <w:tcPr>
            <w:tcW w:type="dxa" w:w="2948"/>
            <w:vAlign w:val="center"/>
            <w:tcMar>
              <w:top w:w="70" w:type="dxa"/>
              <w:start w:w="80" w:type="dxa"/>
              <w:bottom w:w="70" w:type="dxa"/>
              <w:end w:w="80" w:type="dxa"/>
            </w:tcMar>
          </w:tcPr>
          <w:p>
            <w:r/>
            <w:r>
              <w:rPr>
                <w:rFonts w:ascii="Noto Serif CJK SC" w:hAnsi="Noto Serif CJK SC" w:eastAsia="Noto Serif CJK SC"/>
                <w:b w:val="0"/>
                <w:color w:val="000000"/>
                <w:sz w:val="17"/>
              </w:rPr>
              <w:t>发现用途扩张、权力集中、依赖和人心反噬</w:t>
            </w:r>
          </w:p>
        </w:tc>
        <w:tc>
          <w:tcPr>
            <w:tcW w:type="dxa" w:w="3402"/>
            <w:vAlign w:val="center"/>
            <w:tcMar>
              <w:top w:w="70" w:type="dxa"/>
              <w:start w:w="80" w:type="dxa"/>
              <w:bottom w:w="70" w:type="dxa"/>
              <w:end w:w="80" w:type="dxa"/>
            </w:tcMar>
          </w:tcPr>
          <w:p>
            <w:r/>
            <w:r>
              <w:rPr>
                <w:rFonts w:ascii="Noto Serif CJK SC" w:hAnsi="Noto Serif CJK SC" w:eastAsia="Noto Serif CJK SC"/>
                <w:b w:val="0"/>
                <w:color w:val="000000"/>
                <w:sz w:val="17"/>
              </w:rPr>
              <w:t>跨域调用、审计独立、退出报复、强迫反馈</w:t>
            </w:r>
          </w:p>
        </w:tc>
        <w:tc>
          <w:tcPr>
            <w:tcW w:type="dxa" w:w="2381"/>
            <w:vAlign w:val="center"/>
            <w:tcMar>
              <w:top w:w="70" w:type="dxa"/>
              <w:start w:w="80" w:type="dxa"/>
              <w:bottom w:w="70" w:type="dxa"/>
              <w:end w:w="80" w:type="dxa"/>
            </w:tcMar>
          </w:tcPr>
          <w:p>
            <w:r/>
            <w:r>
              <w:rPr>
                <w:rFonts w:ascii="Noto Serif CJK SC" w:hAnsi="Noto Serif CJK SC" w:eastAsia="Noto Serif CJK SC"/>
                <w:b w:val="0"/>
                <w:color w:val="000000"/>
                <w:sz w:val="17"/>
              </w:rPr>
              <w:t>证明系统天然安全</w:t>
            </w:r>
          </w:p>
        </w:tc>
      </w:tr>
    </w:tbl>
    <w:p/>
    <w:p>
      <w:pPr>
        <w:pStyle w:val="Heading2"/>
        <w:keepNext/>
        <w:keepLines/>
      </w:pPr>
      <w:r>
        <w:t>5.2 核心基线指标字典</w:t>
      </w:r>
    </w:p>
    <w:tbl>
      <w:tblPr>
        <w:tblStyle w:val="TableGrid"/>
        <w:tblW w:type="auto" w:w="0"/>
        <w:jc w:val="center"/>
        <w:tblLook w:firstColumn="1" w:firstRow="1" w:lastColumn="0" w:lastRow="0" w:noHBand="0" w:noVBand="1" w:val="04A0"/>
      </w:tblPr>
      <w:tblGrid>
        <w:gridCol w:w="1972"/>
        <w:gridCol w:w="1972"/>
        <w:gridCol w:w="1972"/>
        <w:gridCol w:w="1972"/>
        <w:gridCol w:w="1972"/>
      </w:tblGrid>
      <w:tr>
        <w:trPr>
          <w:tblHeader w:val="true"/>
          <w:cantSplit/>
        </w:trPr>
        <w:tc>
          <w:tcPr>
            <w:tcW w:type="dxa" w:w="737"/>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5"/>
              </w:rPr>
              <w:t>编号</w:t>
            </w:r>
          </w:p>
        </w:tc>
        <w:tc>
          <w:tcPr>
            <w:tcW w:type="dxa" w:w="181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5"/>
              </w:rPr>
              <w:t>指标</w:t>
            </w:r>
          </w:p>
        </w:tc>
        <w:tc>
          <w:tcPr>
            <w:tcW w:type="dxa" w:w="4649"/>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5"/>
              </w:rPr>
              <w:t>定义</w:t>
            </w:r>
          </w:p>
        </w:tc>
        <w:tc>
          <w:tcPr>
            <w:tcW w:type="dxa" w:w="181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5"/>
              </w:rPr>
              <w:t>来源/频率</w:t>
            </w:r>
          </w:p>
        </w:tc>
        <w:tc>
          <w:tcPr>
            <w:tcW w:type="dxa" w:w="113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5"/>
              </w:rPr>
              <w:t>方向</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M01</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基础生存焦虑率</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过去30天因食物、住房、医疗、教育、能源等基本支出产生显著焦虑的居民比例</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居民面板/年度</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越低越好</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M02</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基础服务实际可及率</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符合条件者在合理时间内获得基础服务的比例</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行政数据+抽样核验/季度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越高越好</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M03</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非羞辱体验指数</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居民对申请、使用基础保障时尊严感和被尊重程度的评价</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匿名调查/半年</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越高越好</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M04</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生活稳定预期</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居民对未来12个月生活稳定性的主观预期</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居民面板/季度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越高越好</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M05</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自由时间净变化</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居民可自主支配时间变化</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时间使用调查/年度</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适度上升</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M06</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社区信任与关系质量</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邻里互信、求助可达、孤独感和家庭压力综合观察</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调查+质性/半年</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信任上升、孤独下降</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M07</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生命意义与价值感</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存在价值、被需要焦虑、贡献被看见、未来开放感</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匿名调查/半年</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意义上升、焦虑下降</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R01</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闲置资源有效转化率</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进入真实使用并产生可核验结果的闲置资源占可开放资源比例</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资源池日志/季度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上升</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R02</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资源匹配时延</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从真实需求确认到资源可用的中位时间</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平台日志/持续</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下降</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C01</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贡献确认争议率</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贡献记录被申诉或独立抽查推翻的比例</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审计/季度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可解释地下降</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C02</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跨域用途违规数</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贡献数据被用于无合理关联领域的事件数</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访问日志/持续</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零容忍</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G01</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三权越权事件</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资源、领域或文明表决权越过边界的事件</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审计/持续</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零容忍/及时熔断</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A01</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AGI人工否决率</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高影响建议被人工修改、否决或延迟的比例及理由</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审计日志/季度</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非零且可解释</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A02</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模型迁移与替代时间</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从单一提供者迁移到替代系统所需时间</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演练/半年</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持续下降</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P01</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申诉可达与纠正率</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居民能够提出申诉且获得实质答复/纠正的比例</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申诉系统/季度</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可达上升</w:t>
            </w:r>
          </w:p>
        </w:tc>
      </w:tr>
      <w:tr>
        <w:trPr>
          <w:cantSplit/>
        </w:trPr>
        <w:tc>
          <w:tcPr>
            <w:tcW w:type="dxa" w:w="737"/>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P02</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授权撤回成功率</w:t>
            </w:r>
          </w:p>
        </w:tc>
        <w:tc>
          <w:tcPr>
            <w:tcW w:type="dxa" w:w="4649"/>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个人撤回数据、资源或能力授权后按期停止使用的比例</w:t>
            </w:r>
          </w:p>
        </w:tc>
        <w:tc>
          <w:tcPr>
            <w:tcW w:type="dxa" w:w="181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日志+抽查/季度</w:t>
            </w:r>
          </w:p>
        </w:tc>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5"/>
              </w:rPr>
              <w:t>接近100%</w:t>
            </w:r>
          </w:p>
        </w:tc>
      </w:tr>
      <w:tr>
        <w:trPr>
          <w:cantSplit/>
        </w:trPr>
        <w:tc>
          <w:tcPr>
            <w:tcW w:type="dxa" w:w="737"/>
            <w:vAlign w:val="center"/>
            <w:tcMar>
              <w:top w:w="70" w:type="dxa"/>
              <w:start w:w="80" w:type="dxa"/>
              <w:bottom w:w="70" w:type="dxa"/>
              <w:end w:w="80" w:type="dxa"/>
            </w:tcMar>
          </w:tcPr>
          <w:p>
            <w:r/>
            <w:r>
              <w:rPr>
                <w:rFonts w:ascii="Noto Serif CJK SC" w:hAnsi="Noto Serif CJK SC" w:eastAsia="Noto Serif CJK SC"/>
                <w:b w:val="0"/>
                <w:color w:val="000000"/>
                <w:sz w:val="15"/>
              </w:rPr>
              <w:t>F01</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财政净可持续缺口</w:t>
            </w:r>
          </w:p>
        </w:tc>
        <w:tc>
          <w:tcPr>
            <w:tcW w:type="dxa" w:w="4649"/>
            <w:vAlign w:val="center"/>
            <w:tcMar>
              <w:top w:w="70" w:type="dxa"/>
              <w:start w:w="80" w:type="dxa"/>
              <w:bottom w:w="70" w:type="dxa"/>
              <w:end w:w="80" w:type="dxa"/>
            </w:tcMar>
          </w:tcPr>
          <w:p>
            <w:r/>
            <w:r>
              <w:rPr>
                <w:rFonts w:ascii="Noto Serif CJK SC" w:hAnsi="Noto Serif CJK SC" w:eastAsia="Noto Serif CJK SC"/>
                <w:b w:val="0"/>
                <w:color w:val="000000"/>
                <w:sz w:val="15"/>
              </w:rPr>
              <w:t>基础保障与系统运行的长期资金缺口及敏感性</w:t>
            </w:r>
          </w:p>
        </w:tc>
        <w:tc>
          <w:tcPr>
            <w:tcW w:type="dxa" w:w="1814"/>
            <w:vAlign w:val="center"/>
            <w:tcMar>
              <w:top w:w="70" w:type="dxa"/>
              <w:start w:w="80" w:type="dxa"/>
              <w:bottom w:w="70" w:type="dxa"/>
              <w:end w:w="80" w:type="dxa"/>
            </w:tcMar>
          </w:tcPr>
          <w:p>
            <w:r/>
            <w:r>
              <w:rPr>
                <w:rFonts w:ascii="Noto Serif CJK SC" w:hAnsi="Noto Serif CJK SC" w:eastAsia="Noto Serif CJK SC"/>
                <w:b w:val="0"/>
                <w:color w:val="000000"/>
                <w:sz w:val="15"/>
              </w:rPr>
              <w:t>财政模型/季度</w:t>
            </w:r>
          </w:p>
        </w:tc>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5"/>
              </w:rPr>
              <w:t>可控且透明</w:t>
            </w:r>
          </w:p>
        </w:tc>
      </w:tr>
    </w:tbl>
    <w:p/>
    <w:p>
      <w:pPr>
        <w:pStyle w:val="Heading2"/>
        <w:keepNext/>
        <w:keepLines/>
      </w:pPr>
      <w:r>
        <w:t>5.3 数据分域与独立托管</w:t>
      </w:r>
    </w:p>
    <w:p>
      <w:pPr>
        <w:pStyle w:val="ListBullet"/>
        <w:keepLines/>
      </w:pPr>
      <w:r>
        <w:t>民生基础数据、贡献事实数据、意义与心理数据、企业经营数据、AGI日志和审计证据物理或逻辑分域，禁止默认汇聚为统一居民画像。</w:t>
      </w:r>
    </w:p>
    <w:p>
      <w:pPr>
        <w:pStyle w:val="ListBullet"/>
        <w:keepLines/>
      </w:pPr>
      <w:r>
        <w:t>高地结果数据由独立数据托管方保留校验摘要、版本哈希、数据字典和不可删除的失败记录；运营方不得单方面改写。</w:t>
      </w:r>
    </w:p>
    <w:p>
      <w:pPr>
        <w:pStyle w:val="ListBullet"/>
        <w:keepLines/>
      </w:pPr>
      <w:r>
        <w:t>公开数据采用最小必要、统计化和去身份化；原始敏感数据仅向依法授权的独立审计开放。</w:t>
      </w:r>
    </w:p>
    <w:p>
      <w:pPr>
        <w:pStyle w:val="ListBullet"/>
        <w:keepLines/>
      </w:pPr>
      <w:r>
        <w:t>每次指标口径变化必须保留旧口径并给出桥接关系，禁止通过换口径制造改善。</w:t>
      </w:r>
    </w:p>
    <w:p>
      <w:pPr>
        <w:pStyle w:val="Heading2"/>
        <w:keepNext/>
        <w:keepLines/>
      </w:pPr>
      <w:r>
        <w:t>5.4 分析纪律</w:t>
      </w:r>
    </w:p>
    <w:p>
      <w:pPr>
        <w:pStyle w:val="ListBullet"/>
        <w:keepLines/>
      </w:pPr>
      <w:r>
        <w:t>预先登记主要指标、方向、分析窗口与排除规则；结果出现后不得悄然更换主要终点。</w:t>
      </w:r>
    </w:p>
    <w:p>
      <w:pPr>
        <w:pStyle w:val="ListBullet"/>
        <w:keepLines/>
      </w:pPr>
      <w:r>
        <w:t>同时报告绝对变化、相对变化、分布变化和弱势群体变化，不只报告平均数。</w:t>
      </w:r>
    </w:p>
    <w:p>
      <w:pPr>
        <w:pStyle w:val="ListBullet"/>
        <w:keepLines/>
      </w:pPr>
      <w:r>
        <w:t>成功与失败、支持与反例、量化与质性证据并列发布。</w:t>
      </w:r>
    </w:p>
    <w:p>
      <w:pPr>
        <w:pStyle w:val="ListBullet"/>
        <w:keepLines/>
      </w:pPr>
      <w:r>
        <w:t>相关性不自动解释为因果；无法确定时必须写明未知。</w:t>
      </w:r>
    </w:p>
    <w:p>
      <w:pPr>
        <w:pStyle w:val="Heading1"/>
        <w:keepNext/>
        <w:keepLines/>
        <w:pageBreakBefore/>
      </w:pPr>
      <w:r>
        <w:t>第六章　参与者权利、公众参与与伦理</w:t>
      </w:r>
    </w:p>
    <w:p>
      <w:pPr>
        <w:pStyle w:val="Heading2"/>
        <w:keepNext/>
        <w:keepLines/>
      </w:pPr>
      <w:r>
        <w:t>6.1 不可用总体同意替代具体授权</w:t>
      </w:r>
    </w:p>
    <w:p>
      <w:pPr>
        <w:keepLines/>
      </w:pPr>
      <w:r>
        <w:t>城市居民生活在实验区，不等于对所有数据、资源、贡献记录和AGI使用作出一次性永久同意。公共权力依法实施的事项应明确法律基础；自愿资源与个人数据应按领域、用途、期限和对象分别授权。</w:t>
      </w:r>
    </w:p>
    <w:p>
      <w:pPr>
        <w:pStyle w:val="Heading2"/>
        <w:keepNext/>
        <w:keepLines/>
      </w:pPr>
      <w:r>
        <w:t>6.2 参与者最低权利</w:t>
      </w:r>
    </w:p>
    <w:p>
      <w:pPr>
        <w:pStyle w:val="ListBullet"/>
        <w:keepLines/>
      </w:pPr>
      <w:r>
        <w:t>知情：知道自己处于何种机制、哪些数据被使用、可能影响何种权益。</w:t>
      </w:r>
    </w:p>
    <w:p>
      <w:pPr>
        <w:pStyle w:val="ListBullet"/>
        <w:keepLines/>
      </w:pPr>
      <w:r>
        <w:t>拒绝：可拒绝非必要数据、意义反馈、个体资源开放和AGI个性化建议。</w:t>
      </w:r>
    </w:p>
    <w:p>
      <w:pPr>
        <w:pStyle w:val="ListBullet"/>
        <w:keepLines/>
      </w:pPr>
      <w:r>
        <w:t>撤回：撤回未来授权，并获得停止使用和迁移结果。</w:t>
      </w:r>
    </w:p>
    <w:p>
      <w:pPr>
        <w:pStyle w:val="ListBullet"/>
        <w:keepLines/>
      </w:pPr>
      <w:r>
        <w:t>申诉：对贡献确认、资源匹配、算法建议、资格衔接和数据使用提出异议。</w:t>
      </w:r>
    </w:p>
    <w:p>
      <w:pPr>
        <w:pStyle w:val="ListBullet"/>
        <w:keepLines/>
      </w:pPr>
      <w:r>
        <w:t>人工复核：高影响结论不得仅由自动系统维持。</w:t>
      </w:r>
    </w:p>
    <w:p>
      <w:pPr>
        <w:pStyle w:val="ListBullet"/>
        <w:keepLines/>
      </w:pPr>
      <w:r>
        <w:t>退出：个人、机构和节点可按规则退出，基本权利和已发生合法权益不受报复。</w:t>
      </w:r>
    </w:p>
    <w:p>
      <w:pPr>
        <w:pStyle w:val="ListBullet"/>
        <w:keepLines/>
      </w:pPr>
      <w:r>
        <w:t>不流动：人员自主流动也包括留在原地和拒绝最优匹配的权利。</w:t>
      </w:r>
    </w:p>
    <w:p>
      <w:pPr>
        <w:pStyle w:val="Heading2"/>
        <w:keepNext/>
        <w:keepLines/>
      </w:pPr>
      <w:r>
        <w:t>6.3 弱势群体保护</w:t>
      </w:r>
    </w:p>
    <w:p>
      <w:pPr>
        <w:keepLines/>
      </w:pPr>
      <w:r>
        <w:t>老年人、残障人士、长期病患、未成年人、低数字能力者和依赖公共服务者不得成为低成本数据源或制度展示对象。需求被满足的价值可以被研究，但不得要求受助者以感谢、评价、持续反馈或隐私暴露换取保障。</w:t>
      </w:r>
    </w:p>
    <w:p>
      <w:pPr>
        <w:pStyle w:val="Heading1"/>
        <w:keepNext/>
        <w:keepLines/>
        <w:pageBreakBefore/>
      </w:pPr>
      <w:r>
        <w:t>第七章　组织、独立审计与责任</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blHeader w:val="true"/>
          <w:cantSplit/>
        </w:trPr>
        <w:tc>
          <w:tcPr>
            <w:tcW w:type="dxa" w:w="181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主体</w:t>
            </w:r>
          </w:p>
        </w:tc>
        <w:tc>
          <w:tcPr>
            <w:tcW w:type="dxa" w:w="4422"/>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主要职责</w:t>
            </w:r>
          </w:p>
        </w:tc>
        <w:tc>
          <w:tcPr>
            <w:tcW w:type="dxa" w:w="3402"/>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6"/>
              </w:rPr>
              <w:t>不得兼任</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实验区办公室</w:t>
            </w:r>
          </w:p>
        </w:tc>
        <w:tc>
          <w:tcPr>
            <w:tcW w:type="dxa" w:w="4422"/>
            <w:vAlign w:val="center"/>
            <w:tcMar>
              <w:top w:w="60" w:type="dxa"/>
              <w:start w:w="70" w:type="dxa"/>
              <w:bottom w:w="60" w:type="dxa"/>
              <w:end w:w="70" w:type="dxa"/>
            </w:tcMar>
          </w:tcPr>
          <w:p>
            <w:r/>
            <w:r>
              <w:rPr>
                <w:rFonts w:ascii="Noto Serif CJK SC" w:hAnsi="Noto Serif CJK SC" w:eastAsia="Noto Serif CJK SC"/>
                <w:b w:val="0"/>
                <w:color w:val="000000"/>
                <w:sz w:val="16"/>
              </w:rPr>
              <w:t>总体协调、授权衔接、进度与公共沟通</w:t>
            </w:r>
          </w:p>
        </w:tc>
        <w:tc>
          <w:tcPr>
            <w:tcW w:type="dxa" w:w="3402"/>
            <w:vAlign w:val="center"/>
            <w:tcMar>
              <w:top w:w="60" w:type="dxa"/>
              <w:start w:w="70" w:type="dxa"/>
              <w:bottom w:w="60" w:type="dxa"/>
              <w:end w:w="70" w:type="dxa"/>
            </w:tcMar>
          </w:tcPr>
          <w:p>
            <w:r/>
            <w:r>
              <w:rPr>
                <w:rFonts w:ascii="Noto Serif CJK SC" w:hAnsi="Noto Serif CJK SC" w:eastAsia="Noto Serif CJK SC"/>
                <w:b w:val="0"/>
                <w:color w:val="000000"/>
                <w:sz w:val="16"/>
              </w:rPr>
              <w:t>不得独占审计、算法和最终裁决</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制度委员会</w:t>
            </w:r>
          </w:p>
        </w:tc>
        <w:tc>
          <w:tcPr>
            <w:tcW w:type="dxa" w:w="442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规则草案、相位条件、资源与贡献制度</w:t>
            </w:r>
          </w:p>
        </w:tc>
        <w:tc>
          <w:tcPr>
            <w:tcW w:type="dxa" w:w="340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不得审计自身规则实施结果</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技术委员会</w:t>
            </w:r>
          </w:p>
        </w:tc>
        <w:tc>
          <w:tcPr>
            <w:tcW w:type="dxa" w:w="4422"/>
            <w:vAlign w:val="center"/>
            <w:tcMar>
              <w:top w:w="60" w:type="dxa"/>
              <w:start w:w="70" w:type="dxa"/>
              <w:bottom w:w="60" w:type="dxa"/>
              <w:end w:w="70" w:type="dxa"/>
            </w:tcMar>
          </w:tcPr>
          <w:p>
            <w:r/>
            <w:r>
              <w:rPr>
                <w:rFonts w:ascii="Noto Serif CJK SC" w:hAnsi="Noto Serif CJK SC" w:eastAsia="Noto Serif CJK SC"/>
                <w:b w:val="0"/>
                <w:color w:val="000000"/>
                <w:sz w:val="16"/>
              </w:rPr>
              <w:t>平台、模型、数据与安全</w:t>
            </w:r>
          </w:p>
        </w:tc>
        <w:tc>
          <w:tcPr>
            <w:tcW w:type="dxa" w:w="3402"/>
            <w:vAlign w:val="center"/>
            <w:tcMar>
              <w:top w:w="60" w:type="dxa"/>
              <w:start w:w="70" w:type="dxa"/>
              <w:bottom w:w="60" w:type="dxa"/>
              <w:end w:w="70" w:type="dxa"/>
            </w:tcMar>
          </w:tcPr>
          <w:p>
            <w:r/>
            <w:r>
              <w:rPr>
                <w:rFonts w:ascii="Noto Serif CJK SC" w:hAnsi="Noto Serif CJK SC" w:eastAsia="Noto Serif CJK SC"/>
                <w:b w:val="0"/>
                <w:color w:val="000000"/>
                <w:sz w:val="16"/>
              </w:rPr>
              <w:t>不得裁决算法申诉</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审计与伦理委员会</w:t>
            </w:r>
          </w:p>
        </w:tc>
        <w:tc>
          <w:tcPr>
            <w:tcW w:type="dxa" w:w="442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权利、数据、资源、贡献与权力审计</w:t>
            </w:r>
          </w:p>
        </w:tc>
        <w:tc>
          <w:tcPr>
            <w:tcW w:type="dxa" w:w="340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不得由运营预算单方控制</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人心与意义委员会</w:t>
            </w:r>
          </w:p>
        </w:tc>
        <w:tc>
          <w:tcPr>
            <w:tcW w:type="dxa" w:w="4422"/>
            <w:vAlign w:val="center"/>
            <w:tcMar>
              <w:top w:w="60" w:type="dxa"/>
              <w:start w:w="70" w:type="dxa"/>
              <w:bottom w:w="60" w:type="dxa"/>
              <w:end w:w="70" w:type="dxa"/>
            </w:tcMar>
          </w:tcPr>
          <w:p>
            <w:r/>
            <w:r>
              <w:rPr>
                <w:rFonts w:ascii="Noto Serif CJK SC" w:hAnsi="Noto Serif CJK SC" w:eastAsia="Noto Serif CJK SC"/>
                <w:b w:val="0"/>
                <w:color w:val="000000"/>
                <w:sz w:val="16"/>
              </w:rPr>
              <w:t>三目标、人心反噬、弱势体验与公开质询</w:t>
            </w:r>
          </w:p>
        </w:tc>
        <w:tc>
          <w:tcPr>
            <w:tcW w:type="dxa" w:w="3402"/>
            <w:vAlign w:val="center"/>
            <w:tcMar>
              <w:top w:w="60" w:type="dxa"/>
              <w:start w:w="70" w:type="dxa"/>
              <w:bottom w:w="60" w:type="dxa"/>
              <w:end w:w="70" w:type="dxa"/>
            </w:tcMar>
          </w:tcPr>
          <w:p>
            <w:r/>
            <w:r>
              <w:rPr>
                <w:rFonts w:ascii="Noto Serif CJK SC" w:hAnsi="Noto Serif CJK SC" w:eastAsia="Noto Serif CJK SC"/>
                <w:b w:val="0"/>
                <w:color w:val="000000"/>
                <w:sz w:val="16"/>
              </w:rPr>
              <w:t>不得垄断意义定义或单方永久叫停</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独立数据托管方</w:t>
            </w:r>
          </w:p>
        </w:tc>
        <w:tc>
          <w:tcPr>
            <w:tcW w:type="dxa" w:w="442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保存证据、版本、失败和审计材料</w:t>
            </w:r>
          </w:p>
        </w:tc>
        <w:tc>
          <w:tcPr>
            <w:tcW w:type="dxa" w:w="340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不得参与运营指标考核</w:t>
            </w:r>
          </w:p>
        </w:tc>
      </w:tr>
      <w:tr>
        <w:trPr>
          <w:cantSplit/>
          <w:cantSplit/>
        </w:trPr>
        <w:tc>
          <w:tcPr>
            <w:tcW w:type="dxa" w:w="1814"/>
            <w:vAlign w:val="center"/>
            <w:tcMar>
              <w:top w:w="60" w:type="dxa"/>
              <w:start w:w="70" w:type="dxa"/>
              <w:bottom w:w="60" w:type="dxa"/>
              <w:end w:w="70" w:type="dxa"/>
            </w:tcMar>
          </w:tcPr>
          <w:p>
            <w:r/>
            <w:r>
              <w:rPr>
                <w:rFonts w:ascii="Noto Serif CJK SC" w:hAnsi="Noto Serif CJK SC" w:eastAsia="Noto Serif CJK SC"/>
                <w:b w:val="0"/>
                <w:color w:val="000000"/>
                <w:sz w:val="16"/>
              </w:rPr>
              <w:t>外部对抗性评审组</w:t>
            </w:r>
          </w:p>
        </w:tc>
        <w:tc>
          <w:tcPr>
            <w:tcW w:type="dxa" w:w="4422"/>
            <w:vAlign w:val="center"/>
            <w:tcMar>
              <w:top w:w="60" w:type="dxa"/>
              <w:start w:w="70" w:type="dxa"/>
              <w:bottom w:w="60" w:type="dxa"/>
              <w:end w:w="70" w:type="dxa"/>
            </w:tcMar>
          </w:tcPr>
          <w:p>
            <w:r/>
            <w:r>
              <w:rPr>
                <w:rFonts w:ascii="Noto Serif CJK SC" w:hAnsi="Noto Serif CJK SC" w:eastAsia="Noto Serif CJK SC"/>
                <w:b w:val="0"/>
                <w:color w:val="000000"/>
                <w:sz w:val="16"/>
              </w:rPr>
              <w:t>提出致命缺陷、反例和停止建议</w:t>
            </w:r>
          </w:p>
        </w:tc>
        <w:tc>
          <w:tcPr>
            <w:tcW w:type="dxa" w:w="3402"/>
            <w:vAlign w:val="center"/>
            <w:tcMar>
              <w:top w:w="60" w:type="dxa"/>
              <w:start w:w="70" w:type="dxa"/>
              <w:bottom w:w="60" w:type="dxa"/>
              <w:end w:w="70" w:type="dxa"/>
            </w:tcMar>
          </w:tcPr>
          <w:p>
            <w:r/>
            <w:r>
              <w:rPr>
                <w:rFonts w:ascii="Noto Serif CJK SC" w:hAnsi="Noto Serif CJK SC" w:eastAsia="Noto Serif CJK SC"/>
                <w:b w:val="0"/>
                <w:color w:val="000000"/>
                <w:sz w:val="16"/>
              </w:rPr>
              <w:t>不得被要求形成正面共识</w:t>
            </w:r>
          </w:p>
        </w:tc>
      </w:tr>
      <w:tr>
        <w:trPr>
          <w:cantSplit/>
          <w:cantSplit/>
        </w:trPr>
        <w:tc>
          <w:tcPr>
            <w:tcW w:type="dxa" w:w="1814"/>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文明表决主体</w:t>
            </w:r>
          </w:p>
        </w:tc>
        <w:tc>
          <w:tcPr>
            <w:tcW w:type="dxa" w:w="442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不可逆方向和根本权益最终裁决</w:t>
            </w:r>
          </w:p>
        </w:tc>
        <w:tc>
          <w:tcPr>
            <w:tcW w:type="dxa" w:w="3402"/>
            <w:vAlign w:val="center"/>
            <w:shd w:fill="EEF4F8"/>
            <w:tcMar>
              <w:top w:w="60" w:type="dxa"/>
              <w:start w:w="70" w:type="dxa"/>
              <w:bottom w:w="60" w:type="dxa"/>
              <w:end w:w="70" w:type="dxa"/>
            </w:tcMar>
          </w:tcPr>
          <w:p>
            <w:r/>
            <w:r>
              <w:rPr>
                <w:rFonts w:ascii="Noto Serif CJK SC" w:hAnsi="Noto Serif CJK SC" w:eastAsia="Noto Serif CJK SC"/>
                <w:b w:val="0"/>
                <w:color w:val="000000"/>
                <w:sz w:val="16"/>
              </w:rPr>
              <w:t>不得被贡献值、财富或专业资格加权</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S10</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机制或规则未标注相位/尺度，稳定期形态被直接用于启动期</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停止立项或扩展，退回D002补标与重审</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S11</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任一受影响群体的现状底线因方案存在而劣化</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冻结该机制，补救损失，重新设计无损入口</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S12</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方案只有在某群体先被剥夺、压服或被迫让步时才能启动</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6"/>
              </w:rPr>
              <w:t>认定对立死结，整体退回动力源与激励重设计</w:t>
            </w:r>
          </w:p>
        </w:tc>
      </w:tr>
    </w:tbl>
    <w:p/>
    <w:p>
      <w:pPr>
        <w:pStyle w:val="Heading2"/>
        <w:keepNext/>
        <w:keepLines/>
      </w:pPr>
      <w:r>
        <w:t>7.1 责任锚点</w:t>
      </w:r>
    </w:p>
    <w:p>
      <w:pPr>
        <w:keepLines/>
      </w:pPr>
      <w:r>
        <w:t>每一项高影响干预必须登记：提议者、决策者、执行者、数据责任人、模型责任人、审计者、终止权主体、受影响群体和补救资金来源。不得以“系统决定”消解责任。</w:t>
      </w:r>
    </w:p>
    <w:p>
      <w:pPr>
        <w:pStyle w:val="Heading1"/>
        <w:keepNext/>
        <w:keepLines/>
        <w:pageBreakBefore/>
      </w:pPr>
      <w:r>
        <w:t>第八章　停止、暂停、回滚与退出</w:t>
      </w:r>
    </w:p>
    <w:p>
      <w:pPr>
        <w:pStyle w:val="Heading2"/>
        <w:keepNext/>
        <w:keepLines/>
      </w:pPr>
      <w:r>
        <w:t>8.1 刚性停止条件</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79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编号</w:t>
            </w:r>
          </w:p>
        </w:tc>
        <w:tc>
          <w:tcPr>
            <w:tcW w:type="dxa" w:w="5669"/>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触发</w:t>
            </w:r>
          </w:p>
        </w:tc>
        <w:tc>
          <w:tcPr>
            <w:tcW w:type="dxa" w:w="3515"/>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6"/>
              </w:rPr>
              <w:t>最低响应</w:t>
            </w:r>
          </w:p>
        </w:tc>
      </w:tr>
      <w:tr>
        <w:trPr>
          <w:cantSplit/>
        </w:trPr>
        <w:tc>
          <w:tcPr>
            <w:tcW w:type="dxa" w:w="794"/>
            <w:vAlign w:val="center"/>
            <w:tcMar>
              <w:top w:w="70" w:type="dxa"/>
              <w:start w:w="80" w:type="dxa"/>
              <w:bottom w:w="70" w:type="dxa"/>
              <w:end w:w="80" w:type="dxa"/>
            </w:tcMar>
          </w:tcPr>
          <w:p>
            <w:r/>
            <w:r>
              <w:rPr>
                <w:rFonts w:ascii="Noto Serif CJK SC" w:hAnsi="Noto Serif CJK SC" w:eastAsia="Noto Serif CJK SC"/>
                <w:b w:val="0"/>
                <w:color w:val="000000"/>
                <w:sz w:val="16"/>
              </w:rPr>
              <w:t>S01</w:t>
            </w:r>
          </w:p>
        </w:tc>
        <w:tc>
          <w:tcPr>
            <w:tcW w:type="dxa" w:w="5669"/>
            <w:vAlign w:val="center"/>
            <w:tcMar>
              <w:top w:w="70" w:type="dxa"/>
              <w:start w:w="80" w:type="dxa"/>
              <w:bottom w:w="70" w:type="dxa"/>
              <w:end w:w="80" w:type="dxa"/>
            </w:tcMar>
          </w:tcPr>
          <w:p>
            <w:r/>
            <w:r>
              <w:rPr>
                <w:rFonts w:ascii="Noto Serif CJK SC" w:hAnsi="Noto Serif CJK SC" w:eastAsia="Noto Serif CJK SC"/>
                <w:b w:val="0"/>
                <w:color w:val="000000"/>
                <w:sz w:val="16"/>
              </w:rPr>
              <w:t>基础生存、医疗、教育、照护或公民权利开始读取贡献值</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立即停止相关接口并恢复无条件服务</w:t>
            </w:r>
          </w:p>
        </w:tc>
      </w:tr>
      <w:tr>
        <w:trPr>
          <w:cantSplit/>
        </w:trPr>
        <w:tc>
          <w:tcPr>
            <w:tcW w:type="dxa" w:w="794"/>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S02</w:t>
            </w:r>
          </w:p>
        </w:tc>
        <w:tc>
          <w:tcPr>
            <w:tcW w:type="dxa" w:w="56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形成跨领域人格总分、统一社会等级或惩罚性画像</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冻结贡献系统扩展，删除非法派生字段，独立调查</w:t>
            </w:r>
          </w:p>
        </w:tc>
      </w:tr>
      <w:tr>
        <w:trPr>
          <w:cantSplit/>
        </w:trPr>
        <w:tc>
          <w:tcPr>
            <w:tcW w:type="dxa" w:w="794"/>
            <w:vAlign w:val="center"/>
            <w:tcMar>
              <w:top w:w="70" w:type="dxa"/>
              <w:start w:w="80" w:type="dxa"/>
              <w:bottom w:w="70" w:type="dxa"/>
              <w:end w:w="80" w:type="dxa"/>
            </w:tcMar>
          </w:tcPr>
          <w:p>
            <w:r/>
            <w:r>
              <w:rPr>
                <w:rFonts w:ascii="Noto Serif CJK SC" w:hAnsi="Noto Serif CJK SC" w:eastAsia="Noto Serif CJK SC"/>
                <w:b w:val="0"/>
                <w:color w:val="000000"/>
                <w:sz w:val="16"/>
              </w:rPr>
              <w:t>S03</w:t>
            </w:r>
          </w:p>
        </w:tc>
        <w:tc>
          <w:tcPr>
            <w:tcW w:type="dxa" w:w="5669"/>
            <w:vAlign w:val="center"/>
            <w:tcMar>
              <w:top w:w="70" w:type="dxa"/>
              <w:start w:w="80" w:type="dxa"/>
              <w:bottom w:w="70" w:type="dxa"/>
              <w:end w:w="80" w:type="dxa"/>
            </w:tcMar>
          </w:tcPr>
          <w:p>
            <w:r/>
            <w:r>
              <w:rPr>
                <w:rFonts w:ascii="Noto Serif CJK SC" w:hAnsi="Noto Serif CJK SC" w:eastAsia="Noto Serif CJK SC"/>
                <w:b w:val="0"/>
                <w:color w:val="000000"/>
                <w:sz w:val="16"/>
              </w:rPr>
              <w:t>AGI单独决定高影响权益或不可逆方向</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停止自动执行，恢复人工复核，审查责任</w:t>
            </w:r>
          </w:p>
        </w:tc>
      </w:tr>
      <w:tr>
        <w:trPr>
          <w:cantSplit/>
        </w:trPr>
        <w:tc>
          <w:tcPr>
            <w:tcW w:type="dxa" w:w="794"/>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S04</w:t>
            </w:r>
          </w:p>
        </w:tc>
        <w:tc>
          <w:tcPr>
            <w:tcW w:type="dxa" w:w="56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个人撤回后数据、资源或能力仍被继续使用</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停止相关处理，通知受影响者，执行删除/迁移/赔偿</w:t>
            </w:r>
          </w:p>
        </w:tc>
      </w:tr>
      <w:tr>
        <w:trPr>
          <w:cantSplit/>
        </w:trPr>
        <w:tc>
          <w:tcPr>
            <w:tcW w:type="dxa" w:w="794"/>
            <w:vAlign w:val="center"/>
            <w:tcMar>
              <w:top w:w="70" w:type="dxa"/>
              <w:start w:w="80" w:type="dxa"/>
              <w:bottom w:w="70" w:type="dxa"/>
              <w:end w:w="80" w:type="dxa"/>
            </w:tcMar>
          </w:tcPr>
          <w:p>
            <w:r/>
            <w:r>
              <w:rPr>
                <w:rFonts w:ascii="Noto Serif CJK SC" w:hAnsi="Noto Serif CJK SC" w:eastAsia="Noto Serif CJK SC"/>
                <w:b w:val="0"/>
                <w:color w:val="000000"/>
                <w:sz w:val="16"/>
              </w:rPr>
              <w:t>S05</w:t>
            </w:r>
          </w:p>
        </w:tc>
        <w:tc>
          <w:tcPr>
            <w:tcW w:type="dxa" w:w="5669"/>
            <w:vAlign w:val="center"/>
            <w:tcMar>
              <w:top w:w="70" w:type="dxa"/>
              <w:start w:w="80" w:type="dxa"/>
              <w:bottom w:w="70" w:type="dxa"/>
              <w:end w:w="80" w:type="dxa"/>
            </w:tcMar>
          </w:tcPr>
          <w:p>
            <w:r/>
            <w:r>
              <w:rPr>
                <w:rFonts w:ascii="Noto Serif CJK SC" w:hAnsi="Noto Serif CJK SC" w:eastAsia="Noto Serif CJK SC"/>
                <w:b w:val="0"/>
                <w:color w:val="000000"/>
                <w:sz w:val="16"/>
              </w:rPr>
              <w:t>紧急权超过期限、范围或被用于非紧急事项</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自动失效并启动问责</w:t>
            </w:r>
          </w:p>
        </w:tc>
      </w:tr>
      <w:tr>
        <w:trPr>
          <w:cantSplit/>
        </w:trPr>
        <w:tc>
          <w:tcPr>
            <w:tcW w:type="dxa" w:w="794"/>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S06</w:t>
            </w:r>
          </w:p>
        </w:tc>
        <w:tc>
          <w:tcPr>
            <w:tcW w:type="dxa" w:w="56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审计机构被运营方控制或无法获得证据</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暂停扩展和新参与</w:t>
            </w:r>
          </w:p>
        </w:tc>
      </w:tr>
      <w:tr>
        <w:trPr>
          <w:cantSplit/>
        </w:trPr>
        <w:tc>
          <w:tcPr>
            <w:tcW w:type="dxa" w:w="794"/>
            <w:vAlign w:val="center"/>
            <w:tcMar>
              <w:top w:w="70" w:type="dxa"/>
              <w:start w:w="80" w:type="dxa"/>
              <w:bottom w:w="70" w:type="dxa"/>
              <w:end w:w="80" w:type="dxa"/>
            </w:tcMar>
          </w:tcPr>
          <w:p>
            <w:r/>
            <w:r>
              <w:rPr>
                <w:rFonts w:ascii="Noto Serif CJK SC" w:hAnsi="Noto Serif CJK SC" w:eastAsia="Noto Serif CJK SC"/>
                <w:b w:val="0"/>
                <w:color w:val="000000"/>
                <w:sz w:val="16"/>
              </w:rPr>
              <w:t>S07</w:t>
            </w:r>
          </w:p>
        </w:tc>
        <w:tc>
          <w:tcPr>
            <w:tcW w:type="dxa" w:w="5669"/>
            <w:vAlign w:val="center"/>
            <w:tcMar>
              <w:top w:w="70" w:type="dxa"/>
              <w:start w:w="80" w:type="dxa"/>
              <w:bottom w:w="70" w:type="dxa"/>
              <w:end w:w="80" w:type="dxa"/>
            </w:tcMar>
          </w:tcPr>
          <w:p>
            <w:r/>
            <w:r>
              <w:rPr>
                <w:rFonts w:ascii="Noto Serif CJK SC" w:hAnsi="Noto Serif CJK SC" w:eastAsia="Noto Serif CJK SC"/>
                <w:b w:val="0"/>
                <w:color w:val="000000"/>
                <w:sz w:val="16"/>
              </w:rPr>
              <w:t>出现退出报复、基本服务中断或权利追索障碍</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启动结构性熔断和外部接管审计</w:t>
            </w:r>
          </w:p>
        </w:tc>
      </w:tr>
      <w:tr>
        <w:trPr>
          <w:cantSplit/>
        </w:trPr>
        <w:tc>
          <w:tcPr>
            <w:tcW w:type="dxa" w:w="794"/>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S08</w:t>
            </w:r>
          </w:p>
        </w:tc>
        <w:tc>
          <w:tcPr>
            <w:tcW w:type="dxa" w:w="5669"/>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高地数据被美化、删除失败或改变口径隐瞒负面结果</w:t>
            </w:r>
          </w:p>
        </w:tc>
        <w:tc>
          <w:tcPr>
            <w:tcW w:type="dxa" w:w="3515"/>
            <w:vAlign w:val="center"/>
            <w:shd w:fill="EEF4F8"/>
            <w:tcMar>
              <w:top w:w="70" w:type="dxa"/>
              <w:start w:w="80" w:type="dxa"/>
              <w:bottom w:w="70" w:type="dxa"/>
              <w:end w:w="80" w:type="dxa"/>
            </w:tcMar>
          </w:tcPr>
          <w:p>
            <w:r/>
            <w:r>
              <w:rPr>
                <w:rFonts w:ascii="Noto Serif CJK SC" w:hAnsi="Noto Serif CJK SC" w:eastAsia="Noto Serif CJK SC"/>
                <w:b w:val="0"/>
                <w:color w:val="000000"/>
                <w:sz w:val="16"/>
              </w:rPr>
              <w:t>暂停对外宣传，启用独立托管副本</w:t>
            </w:r>
          </w:p>
        </w:tc>
      </w:tr>
      <w:tr>
        <w:trPr>
          <w:cantSplit/>
        </w:trPr>
        <w:tc>
          <w:tcPr>
            <w:tcW w:type="dxa" w:w="794"/>
            <w:vAlign w:val="center"/>
            <w:tcMar>
              <w:top w:w="70" w:type="dxa"/>
              <w:start w:w="80" w:type="dxa"/>
              <w:bottom w:w="70" w:type="dxa"/>
              <w:end w:w="80" w:type="dxa"/>
            </w:tcMar>
          </w:tcPr>
          <w:p>
            <w:r/>
            <w:r>
              <w:rPr>
                <w:rFonts w:ascii="Noto Serif CJK SC" w:hAnsi="Noto Serif CJK SC" w:eastAsia="Noto Serif CJK SC"/>
                <w:b w:val="0"/>
                <w:color w:val="000000"/>
                <w:sz w:val="16"/>
              </w:rPr>
              <w:t>S09</w:t>
            </w:r>
          </w:p>
        </w:tc>
        <w:tc>
          <w:tcPr>
            <w:tcW w:type="dxa" w:w="5669"/>
            <w:vAlign w:val="center"/>
            <w:tcMar>
              <w:top w:w="70" w:type="dxa"/>
              <w:start w:w="80" w:type="dxa"/>
              <w:bottom w:w="70" w:type="dxa"/>
              <w:end w:w="80" w:type="dxa"/>
            </w:tcMar>
          </w:tcPr>
          <w:p>
            <w:r/>
            <w:r>
              <w:rPr>
                <w:rFonts w:ascii="Noto Serif CJK SC" w:hAnsi="Noto Serif CJK SC" w:eastAsia="Noto Serif CJK SC"/>
                <w:b w:val="0"/>
                <w:color w:val="000000"/>
                <w:sz w:val="16"/>
              </w:rPr>
              <w:t>三大元目标任一出现持续显著净倒退且无法解释修复</w:t>
            </w:r>
          </w:p>
        </w:tc>
        <w:tc>
          <w:tcPr>
            <w:tcW w:type="dxa" w:w="3515"/>
            <w:vAlign w:val="center"/>
            <w:tcMar>
              <w:top w:w="70" w:type="dxa"/>
              <w:start w:w="80" w:type="dxa"/>
              <w:bottom w:w="70" w:type="dxa"/>
              <w:end w:w="80" w:type="dxa"/>
            </w:tcMar>
          </w:tcPr>
          <w:p>
            <w:r/>
            <w:r>
              <w:rPr>
                <w:rFonts w:ascii="Noto Serif CJK SC" w:hAnsi="Noto Serif CJK SC" w:eastAsia="Noto Serif CJK SC"/>
                <w:b w:val="0"/>
                <w:color w:val="000000"/>
                <w:sz w:val="16"/>
              </w:rPr>
              <w:t>停止相关干预并回到上一安全相位</w:t>
            </w:r>
          </w:p>
        </w:tc>
      </w:tr>
    </w:tbl>
    <w:p/>
    <w:p>
      <w:pPr>
        <w:pStyle w:val="Heading2"/>
        <w:keepNext/>
        <w:keepLines/>
      </w:pPr>
      <w:r>
        <w:t>8.2 回滚原则</w:t>
      </w:r>
    </w:p>
    <w:p>
      <w:pPr>
        <w:keepLines/>
      </w:pPr>
      <w:r>
        <w:t>回滚是运行系统恢复到上一个经验证的安全版本，不是删除失败。失败版本、证据、异议和损害记录永久保留，并进入O001规定的数据迁移、通知、补救和再启动程序。</w:t>
      </w:r>
    </w:p>
    <w:p>
      <w:pPr>
        <w:pStyle w:val="Heading1"/>
        <w:keepNext/>
        <w:keepLines/>
        <w:pageBreakBefore/>
      </w:pPr>
      <w:r>
        <w:t>第九章　公开报告、独立核验与证据等级</w:t>
      </w:r>
    </w:p>
    <w:p>
      <w:pPr>
        <w:pStyle w:val="Heading2"/>
        <w:keepNext/>
        <w:keepLines/>
      </w:pPr>
      <w:r>
        <w:t>9.1 实验报告系列</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113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编号</w:t>
            </w:r>
          </w:p>
        </w:tc>
        <w:tc>
          <w:tcPr>
            <w:tcW w:type="dxa" w:w="2835"/>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报告</w:t>
            </w:r>
          </w:p>
        </w:tc>
        <w:tc>
          <w:tcPr>
            <w:tcW w:type="dxa" w:w="5953"/>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最低内容</w:t>
            </w:r>
          </w:p>
        </w:tc>
      </w:tr>
      <w:tr>
        <w:trPr>
          <w:cantSplit/>
        </w:trPr>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E001</w:t>
            </w:r>
          </w:p>
        </w:tc>
        <w:tc>
          <w:tcPr>
            <w:tcW w:type="dxa" w:w="2835"/>
            <w:vAlign w:val="center"/>
            <w:tcMar>
              <w:top w:w="70" w:type="dxa"/>
              <w:start w:w="80" w:type="dxa"/>
              <w:bottom w:w="70" w:type="dxa"/>
              <w:end w:w="80" w:type="dxa"/>
            </w:tcMar>
          </w:tcPr>
          <w:p>
            <w:r/>
            <w:r>
              <w:rPr>
                <w:rFonts w:ascii="Noto Serif CJK SC" w:hAnsi="Noto Serif CJK SC" w:eastAsia="Noto Serif CJK SC"/>
                <w:b w:val="0"/>
                <w:color w:val="000000"/>
                <w:sz w:val="17"/>
              </w:rPr>
              <w:t>总体实验设计与基线方案</w:t>
            </w:r>
          </w:p>
        </w:tc>
        <w:tc>
          <w:tcPr>
            <w:tcW w:type="dxa" w:w="5953"/>
            <w:vAlign w:val="center"/>
            <w:tcMar>
              <w:top w:w="70" w:type="dxa"/>
              <w:start w:w="80" w:type="dxa"/>
              <w:bottom w:w="70" w:type="dxa"/>
              <w:end w:w="80" w:type="dxa"/>
            </w:tcMar>
          </w:tcPr>
          <w:p>
            <w:r/>
            <w:r>
              <w:rPr>
                <w:rFonts w:ascii="Noto Serif CJK SC" w:hAnsi="Noto Serif CJK SC" w:eastAsia="Noto Serif CJK SC"/>
                <w:b w:val="0"/>
                <w:color w:val="000000"/>
                <w:sz w:val="17"/>
              </w:rPr>
              <w:t>假设、基线、指标、权利、停止与分析计划</w:t>
            </w:r>
          </w:p>
        </w:tc>
      </w:tr>
      <w:tr>
        <w:trPr>
          <w:cantSplit/>
        </w:trPr>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E002</w:t>
            </w:r>
          </w:p>
        </w:tc>
        <w:tc>
          <w:tcPr>
            <w:tcW w:type="dxa" w:w="2835"/>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候选区与基线调查报告</w:t>
            </w:r>
          </w:p>
        </w:tc>
        <w:tc>
          <w:tcPr>
            <w:tcW w:type="dxa" w:w="5953"/>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选址评分、资源目录、居民基线、财政与法律边界</w:t>
            </w:r>
          </w:p>
        </w:tc>
      </w:tr>
      <w:tr>
        <w:trPr>
          <w:cantSplit/>
        </w:trPr>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E003</w:t>
            </w:r>
          </w:p>
        </w:tc>
        <w:tc>
          <w:tcPr>
            <w:tcW w:type="dxa" w:w="2835"/>
            <w:vAlign w:val="center"/>
            <w:tcMar>
              <w:top w:w="70" w:type="dxa"/>
              <w:start w:w="80" w:type="dxa"/>
              <w:bottom w:w="70" w:type="dxa"/>
              <w:end w:w="80" w:type="dxa"/>
            </w:tcMar>
          </w:tcPr>
          <w:p>
            <w:r/>
            <w:r>
              <w:rPr>
                <w:rFonts w:ascii="Noto Serif CJK SC" w:hAnsi="Noto Serif CJK SC" w:eastAsia="Noto Serif CJK SC"/>
                <w:b w:val="0"/>
                <w:color w:val="000000"/>
                <w:sz w:val="17"/>
              </w:rPr>
              <w:t>第2.5期最小闭环报告</w:t>
            </w:r>
          </w:p>
        </w:tc>
        <w:tc>
          <w:tcPr>
            <w:tcW w:type="dxa" w:w="5953"/>
            <w:vAlign w:val="center"/>
            <w:tcMar>
              <w:top w:w="70" w:type="dxa"/>
              <w:start w:w="80" w:type="dxa"/>
              <w:bottom w:w="70" w:type="dxa"/>
              <w:end w:w="80" w:type="dxa"/>
            </w:tcMar>
          </w:tcPr>
          <w:p>
            <w:r/>
            <w:r>
              <w:rPr>
                <w:rFonts w:ascii="Noto Serif CJK SC" w:hAnsi="Noto Serif CJK SC" w:eastAsia="Noto Serif CJK SC"/>
                <w:b w:val="0"/>
                <w:color w:val="000000"/>
                <w:sz w:val="17"/>
              </w:rPr>
              <w:t>错误、争议、理解度、资源匹配和影子贡献结果</w:t>
            </w:r>
          </w:p>
        </w:tc>
      </w:tr>
      <w:tr>
        <w:trPr>
          <w:cantSplit/>
        </w:trPr>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E004</w:t>
            </w:r>
          </w:p>
        </w:tc>
        <w:tc>
          <w:tcPr>
            <w:tcW w:type="dxa" w:w="2835"/>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第3期年度实验报告</w:t>
            </w:r>
          </w:p>
        </w:tc>
        <w:tc>
          <w:tcPr>
            <w:tcW w:type="dxa" w:w="5953"/>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三目标、机制、防腐、财政、权利与失败</w:t>
            </w:r>
          </w:p>
        </w:tc>
      </w:tr>
      <w:tr>
        <w:trPr>
          <w:cantSplit/>
        </w:trPr>
        <w:tc>
          <w:tcPr>
            <w:tcW w:type="dxa" w:w="1134"/>
            <w:vAlign w:val="center"/>
            <w:tcMar>
              <w:top w:w="70" w:type="dxa"/>
              <w:start w:w="80" w:type="dxa"/>
              <w:bottom w:w="70" w:type="dxa"/>
              <w:end w:w="80" w:type="dxa"/>
            </w:tcMar>
          </w:tcPr>
          <w:p>
            <w:r/>
            <w:r>
              <w:rPr>
                <w:rFonts w:ascii="Noto Serif CJK SC" w:hAnsi="Noto Serif CJK SC" w:eastAsia="Noto Serif CJK SC"/>
                <w:b w:val="0"/>
                <w:color w:val="000000"/>
                <w:sz w:val="17"/>
              </w:rPr>
              <w:t>E005</w:t>
            </w:r>
          </w:p>
        </w:tc>
        <w:tc>
          <w:tcPr>
            <w:tcW w:type="dxa" w:w="2835"/>
            <w:vAlign w:val="center"/>
            <w:tcMar>
              <w:top w:w="70" w:type="dxa"/>
              <w:start w:w="80" w:type="dxa"/>
              <w:bottom w:w="70" w:type="dxa"/>
              <w:end w:w="80" w:type="dxa"/>
            </w:tcMar>
          </w:tcPr>
          <w:p>
            <w:r/>
            <w:r>
              <w:rPr>
                <w:rFonts w:ascii="Noto Serif CJK SC" w:hAnsi="Noto Serif CJK SC" w:eastAsia="Noto Serif CJK SC"/>
                <w:b w:val="0"/>
                <w:color w:val="000000"/>
                <w:sz w:val="17"/>
              </w:rPr>
              <w:t>城市级扩展与跨节点报告</w:t>
            </w:r>
          </w:p>
        </w:tc>
        <w:tc>
          <w:tcPr>
            <w:tcW w:type="dxa" w:w="5953"/>
            <w:vAlign w:val="center"/>
            <w:tcMar>
              <w:top w:w="70" w:type="dxa"/>
              <w:start w:w="80" w:type="dxa"/>
              <w:bottom w:w="70" w:type="dxa"/>
              <w:end w:w="80" w:type="dxa"/>
            </w:tcMar>
          </w:tcPr>
          <w:p>
            <w:r/>
            <w:r>
              <w:rPr>
                <w:rFonts w:ascii="Noto Serif CJK SC" w:hAnsi="Noto Serif CJK SC" w:eastAsia="Noto Serif CJK SC"/>
                <w:b w:val="0"/>
                <w:color w:val="000000"/>
                <w:sz w:val="17"/>
              </w:rPr>
              <w:t>互操作、人口流动、弱节点能力和外部效应</w:t>
            </w:r>
          </w:p>
        </w:tc>
      </w:tr>
      <w:tr>
        <w:trPr>
          <w:cantSplit/>
        </w:trPr>
        <w:tc>
          <w:tcPr>
            <w:tcW w:type="dxa" w:w="113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E006</w:t>
            </w:r>
          </w:p>
        </w:tc>
        <w:tc>
          <w:tcPr>
            <w:tcW w:type="dxa" w:w="2835"/>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文明高地独立核验报告</w:t>
            </w:r>
          </w:p>
        </w:tc>
        <w:tc>
          <w:tcPr>
            <w:tcW w:type="dxa" w:w="5953"/>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外部复算、退出者证言、少数意见和复制边界</w:t>
            </w:r>
          </w:p>
        </w:tc>
      </w:tr>
    </w:tbl>
    <w:p/>
    <w:p>
      <w:pPr>
        <w:pStyle w:val="Heading2"/>
        <w:keepNext/>
        <w:keepLines/>
      </w:pPr>
      <w:r>
        <w:t>9.2 证据等级</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blHeader w:val="true"/>
          <w:cantSplit/>
        </w:trPr>
        <w:tc>
          <w:tcPr>
            <w:tcW w:type="dxa" w:w="1134"/>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等级</w:t>
            </w:r>
          </w:p>
        </w:tc>
        <w:tc>
          <w:tcPr>
            <w:tcW w:type="dxa" w:w="3969"/>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含义</w:t>
            </w:r>
          </w:p>
        </w:tc>
        <w:tc>
          <w:tcPr>
            <w:tcW w:type="dxa" w:w="4819"/>
            <w:vAlign w:val="center"/>
            <w:shd w:fill="244062"/>
            <w:tcMar>
              <w:top w:w="60" w:type="dxa"/>
              <w:start w:w="70" w:type="dxa"/>
              <w:bottom w:w="60" w:type="dxa"/>
              <w:end w:w="70" w:type="dxa"/>
            </w:tcMar>
          </w:tcPr>
          <w:p>
            <w:pPr>
              <w:jc w:val="center"/>
            </w:pPr>
            <w:r/>
            <w:r>
              <w:rPr>
                <w:rFonts w:ascii="Noto Serif CJK SC" w:hAnsi="Noto Serif CJK SC" w:eastAsia="Noto Serif CJK SC"/>
                <w:b/>
                <w:color w:val="FFFFFF"/>
                <w:sz w:val="17"/>
              </w:rPr>
              <w:t>允许的结论</w:t>
            </w:r>
          </w:p>
        </w:tc>
      </w:tr>
      <w:tr>
        <w:trPr>
          <w:cantSplit/>
          <w:cantSplit/>
        </w:trPr>
        <w:tc>
          <w:tcPr>
            <w:tcW w:type="dxa" w:w="1134"/>
            <w:vAlign w:val="center"/>
            <w:tcMar>
              <w:top w:w="60" w:type="dxa"/>
              <w:start w:w="70" w:type="dxa"/>
              <w:bottom w:w="60" w:type="dxa"/>
              <w:end w:w="70" w:type="dxa"/>
            </w:tcMar>
          </w:tcPr>
          <w:p>
            <w:r/>
            <w:r>
              <w:rPr>
                <w:rFonts w:ascii="Noto Serif CJK SC" w:hAnsi="Noto Serif CJK SC" w:eastAsia="Noto Serif CJK SC"/>
                <w:b w:val="0"/>
                <w:color w:val="000000"/>
                <w:sz w:val="17"/>
              </w:rPr>
              <w:t>E0</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理念与逻辑推演</w:t>
            </w:r>
          </w:p>
        </w:tc>
        <w:tc>
          <w:tcPr>
            <w:tcW w:type="dxa" w:w="4819"/>
            <w:vAlign w:val="center"/>
            <w:tcMar>
              <w:top w:w="60" w:type="dxa"/>
              <w:start w:w="70" w:type="dxa"/>
              <w:bottom w:w="60" w:type="dxa"/>
              <w:end w:w="70" w:type="dxa"/>
            </w:tcMar>
          </w:tcPr>
          <w:p>
            <w:r/>
            <w:r>
              <w:rPr>
                <w:rFonts w:ascii="Noto Serif CJK SC" w:hAnsi="Noto Serif CJK SC" w:eastAsia="Noto Serif CJK SC"/>
                <w:b w:val="0"/>
                <w:color w:val="000000"/>
                <w:sz w:val="17"/>
              </w:rPr>
              <w:t>只能说明为何值得研究</w:t>
            </w:r>
          </w:p>
        </w:tc>
      </w:tr>
      <w:tr>
        <w:trPr>
          <w:cantSplit/>
          <w:cantSplit/>
        </w:trPr>
        <w:tc>
          <w:tcPr>
            <w:tcW w:type="dxa" w:w="1134"/>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E1</w:t>
            </w:r>
          </w:p>
        </w:tc>
        <w:tc>
          <w:tcPr>
            <w:tcW w:type="dxa" w:w="396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原型与桌面演练</w:t>
            </w:r>
          </w:p>
        </w:tc>
        <w:tc>
          <w:tcPr>
            <w:tcW w:type="dxa" w:w="481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只能说明程序可运行</w:t>
            </w:r>
          </w:p>
        </w:tc>
      </w:tr>
      <w:tr>
        <w:trPr>
          <w:cantSplit/>
          <w:cantSplit/>
        </w:trPr>
        <w:tc>
          <w:tcPr>
            <w:tcW w:type="dxa" w:w="1134"/>
            <w:vAlign w:val="center"/>
            <w:tcMar>
              <w:top w:w="60" w:type="dxa"/>
              <w:start w:w="70" w:type="dxa"/>
              <w:bottom w:w="60" w:type="dxa"/>
              <w:end w:w="70" w:type="dxa"/>
            </w:tcMar>
          </w:tcPr>
          <w:p>
            <w:r/>
            <w:r>
              <w:rPr>
                <w:rFonts w:ascii="Noto Serif CJK SC" w:hAnsi="Noto Serif CJK SC" w:eastAsia="Noto Serif CJK SC"/>
                <w:b w:val="0"/>
                <w:color w:val="000000"/>
                <w:sz w:val="17"/>
              </w:rPr>
              <w:t>E2</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最小闭环和短期数据</w:t>
            </w:r>
          </w:p>
        </w:tc>
        <w:tc>
          <w:tcPr>
            <w:tcW w:type="dxa" w:w="4819"/>
            <w:vAlign w:val="center"/>
            <w:tcMar>
              <w:top w:w="60" w:type="dxa"/>
              <w:start w:w="70" w:type="dxa"/>
              <w:bottom w:w="60" w:type="dxa"/>
              <w:end w:w="70" w:type="dxa"/>
            </w:tcMar>
          </w:tcPr>
          <w:p>
            <w:r/>
            <w:r>
              <w:rPr>
                <w:rFonts w:ascii="Noto Serif CJK SC" w:hAnsi="Noto Serif CJK SC" w:eastAsia="Noto Serif CJK SC"/>
                <w:b w:val="0"/>
                <w:color w:val="000000"/>
                <w:sz w:val="17"/>
              </w:rPr>
              <w:t>只能说明局部可行性</w:t>
            </w:r>
          </w:p>
        </w:tc>
      </w:tr>
      <w:tr>
        <w:trPr>
          <w:cantSplit/>
          <w:cantSplit/>
        </w:trPr>
        <w:tc>
          <w:tcPr>
            <w:tcW w:type="dxa" w:w="1134"/>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E3</w:t>
            </w:r>
          </w:p>
        </w:tc>
        <w:tc>
          <w:tcPr>
            <w:tcW w:type="dxa" w:w="396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局部完整运行与比较证据</w:t>
            </w:r>
          </w:p>
        </w:tc>
        <w:tc>
          <w:tcPr>
            <w:tcW w:type="dxa" w:w="481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可以支持有限因果判断</w:t>
            </w:r>
          </w:p>
        </w:tc>
      </w:tr>
      <w:tr>
        <w:trPr>
          <w:cantSplit/>
          <w:cantSplit/>
        </w:trPr>
        <w:tc>
          <w:tcPr>
            <w:tcW w:type="dxa" w:w="1134"/>
            <w:vAlign w:val="center"/>
            <w:tcMar>
              <w:top w:w="60" w:type="dxa"/>
              <w:start w:w="70" w:type="dxa"/>
              <w:bottom w:w="60" w:type="dxa"/>
              <w:end w:w="70" w:type="dxa"/>
            </w:tcMar>
          </w:tcPr>
          <w:p>
            <w:r/>
            <w:r>
              <w:rPr>
                <w:rFonts w:ascii="Noto Serif CJK SC" w:hAnsi="Noto Serif CJK SC" w:eastAsia="Noto Serif CJK SC"/>
                <w:b w:val="0"/>
                <w:color w:val="000000"/>
                <w:sz w:val="17"/>
              </w:rPr>
              <w:t>E4</w:t>
            </w:r>
          </w:p>
        </w:tc>
        <w:tc>
          <w:tcPr>
            <w:tcW w:type="dxa" w:w="3969"/>
            <w:vAlign w:val="center"/>
            <w:tcMar>
              <w:top w:w="60" w:type="dxa"/>
              <w:start w:w="70" w:type="dxa"/>
              <w:bottom w:w="60" w:type="dxa"/>
              <w:end w:w="70" w:type="dxa"/>
            </w:tcMar>
          </w:tcPr>
          <w:p>
            <w:r/>
            <w:r>
              <w:rPr>
                <w:rFonts w:ascii="Noto Serif CJK SC" w:hAnsi="Noto Serif CJK SC" w:eastAsia="Noto Serif CJK SC"/>
                <w:b w:val="0"/>
                <w:color w:val="000000"/>
                <w:sz w:val="17"/>
              </w:rPr>
              <w:t>城市级多周期运行与独立复核</w:t>
            </w:r>
          </w:p>
        </w:tc>
        <w:tc>
          <w:tcPr>
            <w:tcW w:type="dxa" w:w="4819"/>
            <w:vAlign w:val="center"/>
            <w:tcMar>
              <w:top w:w="60" w:type="dxa"/>
              <w:start w:w="70" w:type="dxa"/>
              <w:bottom w:w="60" w:type="dxa"/>
              <w:end w:w="70" w:type="dxa"/>
            </w:tcMar>
          </w:tcPr>
          <w:p>
            <w:r/>
            <w:r>
              <w:rPr>
                <w:rFonts w:ascii="Noto Serif CJK SC" w:hAnsi="Noto Serif CJK SC" w:eastAsia="Noto Serif CJK SC"/>
                <w:b w:val="0"/>
                <w:color w:val="000000"/>
                <w:sz w:val="17"/>
              </w:rPr>
              <w:t>可以支持结构有效性判断</w:t>
            </w:r>
          </w:p>
        </w:tc>
      </w:tr>
      <w:tr>
        <w:trPr>
          <w:cantSplit/>
          <w:cantSplit/>
        </w:trPr>
        <w:tc>
          <w:tcPr>
            <w:tcW w:type="dxa" w:w="1134"/>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E5</w:t>
            </w:r>
          </w:p>
        </w:tc>
        <w:tc>
          <w:tcPr>
            <w:tcW w:type="dxa" w:w="396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跨节点复制、退出和危机验证</w:t>
            </w:r>
          </w:p>
        </w:tc>
        <w:tc>
          <w:tcPr>
            <w:tcW w:type="dxa" w:w="4819"/>
            <w:vAlign w:val="center"/>
            <w:shd w:fill="EEF4F8"/>
            <w:tcMar>
              <w:top w:w="60" w:type="dxa"/>
              <w:start w:w="70" w:type="dxa"/>
              <w:bottom w:w="60" w:type="dxa"/>
              <w:end w:w="70" w:type="dxa"/>
            </w:tcMar>
          </w:tcPr>
          <w:p>
            <w:r/>
            <w:r>
              <w:rPr>
                <w:rFonts w:ascii="Noto Serif CJK SC" w:hAnsi="Noto Serif CJK SC" w:eastAsia="Noto Serif CJK SC"/>
                <w:b w:val="0"/>
                <w:color w:val="000000"/>
                <w:sz w:val="17"/>
              </w:rPr>
              <w:t>可以讨论演变与高地效应</w:t>
            </w: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color w:val="000000"/>
                <w:sz w:val="17"/>
              </w:rPr>
              <w:t>相位与尺度</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D001相位标签、尺度标签、上一相位前提和下一相位门。</w:t>
            </w:r>
          </w:p>
        </w:tc>
        <w:tc>
          <w:tcPr>
            <w:tcW w:type="dxa" w:w="3286"/>
            <w:tcMar>
              <w:top w:w="60" w:type="dxa"/>
              <w:start w:w="70" w:type="dxa"/>
              <w:bottom w:w="60" w:type="dxa"/>
              <w:end w:w="70" w:type="dxa"/>
            </w:tcMar>
          </w:tcP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color w:val="000000"/>
                <w:sz w:val="17"/>
              </w:rPr>
              <w:t>七类群体无损矩阵</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逐群体恐惧、动力源、即时收益、无损条款和拒绝后的替代路径。</w:t>
            </w:r>
          </w:p>
        </w:tc>
        <w:tc>
          <w:tcPr>
            <w:tcW w:type="dxa" w:w="3286"/>
            <w:tcMar>
              <w:top w:w="60" w:type="dxa"/>
              <w:start w:w="70" w:type="dxa"/>
              <w:bottom w:w="60" w:type="dxa"/>
              <w:end w:w="70" w:type="dxa"/>
            </w:tcMar>
          </w:tcPr>
          <w:p/>
        </w:tc>
      </w:tr>
      <w:tr>
        <w:trPr>
          <w:cantSplit/>
        </w:trPr>
        <w:tc>
          <w:tcPr>
            <w:tcW w:type="dxa" w:w="3286"/>
            <w:vAlign w:val="center"/>
            <w:tcMar>
              <w:top w:w="60" w:type="dxa"/>
              <w:start w:w="70" w:type="dxa"/>
              <w:bottom w:w="60" w:type="dxa"/>
              <w:end w:w="70" w:type="dxa"/>
            </w:tcMar>
          </w:tcPr>
          <w:p>
            <w:r/>
            <w:r>
              <w:rPr>
                <w:rFonts w:ascii="Noto Serif CJK SC" w:hAnsi="Noto Serif CJK SC" w:eastAsia="Noto Serif CJK SC"/>
                <w:b/>
                <w:color w:val="000000"/>
                <w:sz w:val="17"/>
              </w:rPr>
              <w:t>对立死结检验</w:t>
            </w:r>
          </w:p>
        </w:tc>
        <w:tc>
          <w:tcPr>
            <w:tcW w:type="dxa" w:w="3286"/>
            <w:vAlign w:val="center"/>
            <w:tcMar>
              <w:top w:w="60" w:type="dxa"/>
              <w:start w:w="70" w:type="dxa"/>
              <w:bottom w:w="60" w:type="dxa"/>
              <w:end w:w="70" w:type="dxa"/>
            </w:tcMar>
          </w:tcPr>
          <w:p>
            <w:r/>
            <w:r>
              <w:rPr>
                <w:rFonts w:ascii="Noto Serif CJK SC" w:hAnsi="Noto Serif CJK SC" w:eastAsia="Noto Serif CJK SC"/>
                <w:b w:val="0"/>
                <w:color w:val="000000"/>
                <w:sz w:val="17"/>
              </w:rPr>
              <w:t>谁先让步、即时回报、拒绝后是否仍能启动。</w:t>
            </w:r>
          </w:p>
        </w:tc>
        <w:tc>
          <w:tcPr>
            <w:tcW w:type="dxa" w:w="3286"/>
            <w:tcMar>
              <w:top w:w="60" w:type="dxa"/>
              <w:start w:w="70" w:type="dxa"/>
              <w:bottom w:w="60" w:type="dxa"/>
              <w:end w:w="70" w:type="dxa"/>
            </w:tcMar>
          </w:tcPr>
          <w:p/>
        </w:tc>
      </w:tr>
    </w:tbl>
    <w:p/>
    <w:p>
      <w:pPr>
        <w:pStyle w:val="QuoteStrong"/>
        <w:keepLines/>
      </w:pPr>
      <w:r>
        <w:t>任何阶段不得把过程结果当作文明跃迁已经完成的结论。</w:t>
      </w:r>
    </w:p>
    <w:p>
      <w:pPr>
        <w:pStyle w:val="Heading1"/>
        <w:keepNext/>
        <w:keepLines/>
        <w:pageBreakBefore/>
      </w:pPr>
      <w:r>
        <w:t>附录A　实验登记最低字段</w:t>
      </w:r>
    </w:p>
    <w:tbl>
      <w:tblPr>
        <w:tblStyle w:val="TableGrid"/>
        <w:tblW w:type="auto" w:w="0"/>
        <w:jc w:val="center"/>
        <w:tblLook w:firstColumn="1" w:firstRow="1" w:lastColumn="0" w:lastRow="0" w:noHBand="0" w:noVBand="1" w:val="04A0"/>
      </w:tblPr>
      <w:tblGrid>
        <w:gridCol w:w="4929"/>
        <w:gridCol w:w="4929"/>
      </w:tblGrid>
      <w:tr>
        <w:trPr>
          <w:tblHeader w:val="true"/>
          <w:cantSplit/>
        </w:trPr>
        <w:tc>
          <w:tcPr>
            <w:tcW w:type="dxa" w:w="2268"/>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字段</w:t>
            </w:r>
          </w:p>
        </w:tc>
        <w:tc>
          <w:tcPr>
            <w:tcW w:type="dxa" w:w="7654"/>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内容</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实验名称与编号</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唯一编号、版本、主责机构、适用区域</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上位依据</w:t>
            </w:r>
          </w:p>
        </w:tc>
        <w:tc>
          <w:tcPr>
            <w:tcW w:type="dxa" w:w="765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V3.9、v1.5、v0.7及相关P协议版本</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假设</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主要假设、反假设与可能失败方式</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参与对象</w:t>
            </w:r>
          </w:p>
        </w:tc>
        <w:tc>
          <w:tcPr>
            <w:tcW w:type="dxa" w:w="765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居民、企业、机构、弱势群体及排除理由</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干预</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具体规则、技术、相位、权限和期限</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比较</w:t>
            </w:r>
          </w:p>
        </w:tc>
        <w:tc>
          <w:tcPr>
            <w:tcW w:type="dxa" w:w="765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历史、匹配区、分阶段或合成控制方法</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指标</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主要、次要、防腐、权利和人心指标</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数据</w:t>
            </w:r>
          </w:p>
        </w:tc>
        <w:tc>
          <w:tcPr>
            <w:tcW w:type="dxa" w:w="765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来源、控制者、托管、保存、删除和访问</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责任</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提议、决策、执行、审计、终止和补救主体</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停止与回滚</w:t>
            </w:r>
          </w:p>
        </w:tc>
        <w:tc>
          <w:tcPr>
            <w:tcW w:type="dxa" w:w="7654"/>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刚性条件、回滚点、迁移和通知</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公开计划</w:t>
            </w:r>
          </w:p>
        </w:tc>
        <w:tc>
          <w:tcPr>
            <w:tcW w:type="dxa" w:w="7654"/>
            <w:vAlign w:val="center"/>
            <w:tcMar>
              <w:top w:w="70" w:type="dxa"/>
              <w:start w:w="80" w:type="dxa"/>
              <w:bottom w:w="70" w:type="dxa"/>
              <w:end w:w="80" w:type="dxa"/>
            </w:tcMar>
          </w:tcPr>
          <w:p>
            <w:r/>
            <w:r>
              <w:rPr>
                <w:rFonts w:ascii="Noto Serif CJK SC" w:hAnsi="Noto Serif CJK SC" w:eastAsia="Noto Serif CJK SC"/>
                <w:b w:val="0"/>
                <w:color w:val="000000"/>
                <w:sz w:val="17"/>
              </w:rPr>
              <w:t>何时发布、何种数据、少数意见和限制</w:t>
            </w:r>
          </w:p>
        </w:tc>
      </w:tr>
    </w:tbl>
    <w:p/>
    <w:p>
      <w:pPr>
        <w:pStyle w:val="Heading1"/>
        <w:keepNext/>
        <w:keepLines/>
      </w:pPr>
      <w:r>
        <w:t>附录B　首轮验证路线图</w:t>
      </w:r>
    </w:p>
    <w:tbl>
      <w:tblPr>
        <w:tblStyle w:val="TableGrid"/>
        <w:tblW w:type="auto" w:w="0"/>
        <w:jc w:val="center"/>
        <w:tblLook w:firstColumn="1" w:firstRow="1" w:lastColumn="0" w:lastRow="0" w:noHBand="0" w:noVBand="1" w:val="04A0"/>
      </w:tblPr>
      <w:tblGrid>
        <w:gridCol w:w="3286"/>
        <w:gridCol w:w="3286"/>
        <w:gridCol w:w="3286"/>
      </w:tblGrid>
      <w:tr>
        <w:trPr>
          <w:tblHeader w:val="true"/>
          <w:cantSplit/>
        </w:trPr>
        <w:tc>
          <w:tcPr>
            <w:tcW w:type="dxa" w:w="2268"/>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阶段</w:t>
            </w:r>
          </w:p>
        </w:tc>
        <w:tc>
          <w:tcPr>
            <w:tcW w:type="dxa" w:w="2835"/>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优先验证协议</w:t>
            </w:r>
          </w:p>
        </w:tc>
        <w:tc>
          <w:tcPr>
            <w:tcW w:type="dxa" w:w="4819"/>
            <w:vAlign w:val="center"/>
            <w:shd w:fill="244062"/>
            <w:tcMar>
              <w:top w:w="70" w:type="dxa"/>
              <w:start w:w="80" w:type="dxa"/>
              <w:bottom w:w="70" w:type="dxa"/>
              <w:end w:w="80" w:type="dxa"/>
            </w:tcMar>
          </w:tcPr>
          <w:p>
            <w:pPr>
              <w:jc w:val="center"/>
            </w:pPr>
            <w:r/>
            <w:r>
              <w:rPr>
                <w:rFonts w:ascii="Noto Serif CJK SC" w:hAnsi="Noto Serif CJK SC" w:eastAsia="Noto Serif CJK SC"/>
                <w:b/>
                <w:color w:val="FFFFFF"/>
                <w:sz w:val="17"/>
              </w:rPr>
              <w:t>理由</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第一批：权利与边界</w:t>
            </w:r>
          </w:p>
        </w:tc>
        <w:tc>
          <w:tcPr>
            <w:tcW w:type="dxa" w:w="2835"/>
            <w:vAlign w:val="center"/>
            <w:tcMar>
              <w:top w:w="70" w:type="dxa"/>
              <w:start w:w="80" w:type="dxa"/>
              <w:bottom w:w="70" w:type="dxa"/>
              <w:end w:w="80" w:type="dxa"/>
            </w:tcMar>
          </w:tcPr>
          <w:p>
            <w:r/>
            <w:r>
              <w:rPr>
                <w:rFonts w:ascii="Noto Serif CJK SC" w:hAnsi="Noto Serif CJK SC" w:eastAsia="Noto Serif CJK SC"/>
                <w:b w:val="0"/>
                <w:color w:val="000000"/>
                <w:sz w:val="17"/>
              </w:rPr>
              <w:t>P02、P03、P04、P07、P08</w:t>
            </w:r>
          </w:p>
        </w:tc>
        <w:tc>
          <w:tcPr>
            <w:tcW w:type="dxa" w:w="4819"/>
            <w:vAlign w:val="center"/>
            <w:tcMar>
              <w:top w:w="70" w:type="dxa"/>
              <w:start w:w="80" w:type="dxa"/>
              <w:bottom w:w="70" w:type="dxa"/>
              <w:end w:w="80" w:type="dxa"/>
            </w:tcMar>
          </w:tcPr>
          <w:p>
            <w:r/>
            <w:r>
              <w:rPr>
                <w:rFonts w:ascii="Noto Serif CJK SC" w:hAnsi="Noto Serif CJK SC" w:eastAsia="Noto Serif CJK SC"/>
                <w:b w:val="0"/>
                <w:color w:val="000000"/>
                <w:sz w:val="17"/>
              </w:rPr>
              <w:t>先证明人不会被系统吞并，AI不会形成依赖，权力不会集中</w:t>
            </w:r>
          </w:p>
        </w:tc>
      </w:tr>
      <w:tr>
        <w:trPr>
          <w:cantSplit/>
        </w:trPr>
        <w:tc>
          <w:tcPr>
            <w:tcW w:type="dxa" w:w="2268"/>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第二批：资源与履约</w:t>
            </w:r>
          </w:p>
        </w:tc>
        <w:tc>
          <w:tcPr>
            <w:tcW w:type="dxa" w:w="2835"/>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P01、P05</w:t>
            </w:r>
          </w:p>
        </w:tc>
        <w:tc>
          <w:tcPr>
            <w:tcW w:type="dxa" w:w="4819"/>
            <w:vAlign w:val="center"/>
            <w:shd w:fill="EEF4F8"/>
            <w:tcMar>
              <w:top w:w="70" w:type="dxa"/>
              <w:start w:w="80" w:type="dxa"/>
              <w:bottom w:w="70" w:type="dxa"/>
              <w:end w:w="80" w:type="dxa"/>
            </w:tcMar>
          </w:tcPr>
          <w:p>
            <w:r/>
            <w:r>
              <w:rPr>
                <w:rFonts w:ascii="Noto Serif CJK SC" w:hAnsi="Noto Serif CJK SC" w:eastAsia="Noto Serif CJK SC"/>
                <w:b w:val="0"/>
                <w:color w:val="000000"/>
                <w:sz w:val="17"/>
              </w:rPr>
              <w:t>再证明资源可调度、所有权不被偷换、违约和退出可处理</w:t>
            </w:r>
          </w:p>
        </w:tc>
      </w:tr>
      <w:tr>
        <w:trPr>
          <w:cantSplit/>
        </w:trPr>
        <w:tc>
          <w:tcPr>
            <w:tcW w:type="dxa" w:w="2268"/>
            <w:vAlign w:val="center"/>
            <w:tcMar>
              <w:top w:w="70" w:type="dxa"/>
              <w:start w:w="80" w:type="dxa"/>
              <w:bottom w:w="70" w:type="dxa"/>
              <w:end w:w="80" w:type="dxa"/>
            </w:tcMar>
          </w:tcPr>
          <w:p>
            <w:r/>
            <w:r>
              <w:rPr>
                <w:rFonts w:ascii="Noto Serif CJK SC" w:hAnsi="Noto Serif CJK SC" w:eastAsia="Noto Serif CJK SC"/>
                <w:b w:val="0"/>
                <w:color w:val="000000"/>
                <w:sz w:val="17"/>
              </w:rPr>
              <w:t>第三批：危机协调</w:t>
            </w:r>
          </w:p>
        </w:tc>
        <w:tc>
          <w:tcPr>
            <w:tcW w:type="dxa" w:w="2835"/>
            <w:vAlign w:val="center"/>
            <w:tcMar>
              <w:top w:w="70" w:type="dxa"/>
              <w:start w:w="80" w:type="dxa"/>
              <w:bottom w:w="70" w:type="dxa"/>
              <w:end w:w="80" w:type="dxa"/>
            </w:tcMar>
          </w:tcPr>
          <w:p>
            <w:r/>
            <w:r>
              <w:rPr>
                <w:rFonts w:ascii="Noto Serif CJK SC" w:hAnsi="Noto Serif CJK SC" w:eastAsia="Noto Serif CJK SC"/>
                <w:b w:val="0"/>
                <w:color w:val="000000"/>
                <w:sz w:val="17"/>
              </w:rPr>
              <w:t>P06</w:t>
            </w:r>
          </w:p>
        </w:tc>
        <w:tc>
          <w:tcPr>
            <w:tcW w:type="dxa" w:w="4819"/>
            <w:vAlign w:val="center"/>
            <w:tcMar>
              <w:top w:w="70" w:type="dxa"/>
              <w:start w:w="80" w:type="dxa"/>
              <w:bottom w:w="70" w:type="dxa"/>
              <w:end w:w="80" w:type="dxa"/>
            </w:tcMar>
          </w:tcPr>
          <w:p>
            <w:r/>
            <w:r>
              <w:rPr>
                <w:rFonts w:ascii="Noto Serif CJK SC" w:hAnsi="Noto Serif CJK SC" w:eastAsia="Noto Serif CJK SC"/>
                <w:b w:val="0"/>
                <w:color w:val="000000"/>
                <w:sz w:val="17"/>
              </w:rPr>
              <w:t>最后验证紧急权能启动也能终止</w:t>
            </w:r>
          </w:p>
        </w:tc>
      </w:tr>
    </w:tbl>
    <w:p/>
    <w:sectPr w:rsidR="00FC693F" w:rsidRPr="0006063C" w:rsidSect="00034616">
      <w:headerReference w:type="default" r:id="rId9"/>
      <w:footerReference w:type="default" r:id="rId10"/>
      <w:pgSz w:w="12240" w:h="15840"/>
      <w:pgMar w:top="1191" w:right="1134" w:bottom="1077" w:left="124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CJK SC" w:hAnsi="Noto Sans CJK SC" w:eastAsia="Noto Sans CJK SC"/>
        <w:color w:val="666666"/>
        <w:sz w:val="16"/>
      </w:rPr>
      <w:t xml:space="preserve">文明跃迁研究组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ans CJK SC" w:hAnsi="Noto Sans CJK SC" w:eastAsia="Noto Sans CJK SC"/>
        <w:color w:val="666666"/>
        <w:sz w:val="16"/>
      </w:rPr>
      <w:t>专业验证文件｜E001-v0.2｜相位纪律整合实验设计草案</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1" w:lineRule="auto" w:after="80"/>
    </w:pPr>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Noto Sans CJK SC" w:hAnsi="Noto Sans CJK SC" w:eastAsia="Noto Sans CJK SC"/>
      <w:b/>
      <w:bCs/>
      <w:color w:val="244062"/>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Noto Sans CJK SC" w:hAnsi="Noto Sans CJK SC" w:eastAsia="Noto Sans CJK SC"/>
      <w:b/>
      <w:bCs/>
      <w:color w:val="24406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Noto Sans CJK SC" w:hAnsi="Noto Sans CJK SC" w:eastAsia="Noto Sans CJK SC"/>
      <w:b/>
      <w:bCs/>
      <w:color w:val="33333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Noto Sans CJK SC" w:hAnsi="Noto Sans CJK SC" w:eastAsia="Noto Sans CJK SC"/>
      <w:b/>
      <w:color w:val="244062"/>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60"/>
    </w:pPr>
    <w:rPr>
      <w:rFonts w:asciiTheme="majorHAnsi" w:eastAsiaTheme="majorEastAsia" w:hAnsiTheme="majorHAnsi" w:cstheme="majorBidi" w:ascii="Noto Sans CJK SC" w:hAnsi="Noto Sans CJK SC" w:eastAsia="Noto Sans CJK SC"/>
      <w:b w:val="0"/>
      <w:i/>
      <w:iCs/>
      <w:color w:val="666666"/>
      <w:spacing w:val="15"/>
      <w:sz w:val="2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eStrong">
    <w:name w:val="Quote Strong"/>
    <w:pPr>
      <w:spacing w:before="160" w:after="160" w:line="324" w:lineRule="auto"/>
      <w:ind w:left="454" w:right="454"/>
    </w:pPr>
    <w:rPr>
      <w:rFonts w:ascii="Noto Serif CJK SC" w:hAnsi="Noto Serif CJK SC" w:eastAsia="Noto Serif CJK SC"/>
      <w:b/>
      <w:color w:val="244062"/>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