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500"/>
        <w:jc w:val="center"/>
      </w:pPr>
      <w:r>
        <w:rPr>
          <w:rFonts w:ascii="Noto Sans CJK SC" w:hAnsi="Noto Sans CJK SC" w:eastAsia="Noto Sans CJK SC"/>
          <w:b/>
          <w:color w:val="1F1F1F"/>
          <w:sz w:val="46"/>
        </w:rPr>
        <w:t>从理论到现实</w:t>
      </w:r>
    </w:p>
    <w:p>
      <w:pPr>
        <w:jc w:val="center"/>
      </w:pPr>
      <w:r>
        <w:rPr>
          <w:rFonts w:ascii="Noto Serif CJK SC" w:hAnsi="Noto Serif CJK SC" w:eastAsia="Noto Serif CJK SC"/>
          <w:b w:val="0"/>
          <w:color w:val="1F4E79"/>
          <w:sz w:val="26"/>
        </w:rPr>
        <w:t>AGI时代文明跃迁国家级综合实验区研究接口摘要</w:t>
      </w:r>
    </w:p>
    <w:p>
      <w:pPr>
        <w:jc w:val="center"/>
      </w:pPr>
      <w:r>
        <w:rPr>
          <w:rFonts w:ascii="Noto Serif CJK SC" w:hAnsi="Noto Serif CJK SC" w:eastAsia="Noto Serif CJK SC"/>
          <w:b w:val="0"/>
          <w:color w:val="1F4E79"/>
          <w:sz w:val="32"/>
        </w:rPr>
        <w:t>——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666666"/>
          <w:sz w:val="20"/>
        </w:rPr>
        <w:t>子君赋｜文明跃迁研究组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666666"/>
          <w:sz w:val="20"/>
        </w:rPr>
        <w:t>v2.0 正式提交版｜2026年7月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rPr>
          <w:cantSplit/>
          <w:tblHeader/>
        </w:trPr>
        <w:tc>
          <w:tcPr>
            <w:tcW w:type="dxa" w:w="9632"/>
            <w:shd w:fill="EAF2F8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r>
              <w:rPr>
                <w:rFonts w:ascii="Noto Sans CJK SC" w:hAnsi="Noto Sans CJK SC" w:eastAsia="Noto Sans CJK SC"/>
                <w:b/>
                <w:color w:val="1F4E79"/>
                <w:sz w:val="21"/>
              </w:rPr>
              <w:t>定位</w:t>
              <w:br/>
            </w:r>
            <w:r>
              <w:rPr>
                <w:rFonts w:ascii="Noto Serif CJK SC" w:hAnsi="Noto Serif CJK SC" w:eastAsia="Noto Serif CJK SC"/>
                <w:b w:val="0"/>
                <w:color w:val="1F1F1F"/>
                <w:sz w:val="20"/>
              </w:rPr>
              <w:t>本摘要不是完整实验区建议书，也不请求立即批准全域制度替换。它只说明：文明跃迁为什么需要城市级完整社会系统验证，当前阶段最需要决定什么，以及研究院可以从哪些问题进入。</w:t>
            </w:r>
          </w:p>
        </w:tc>
      </w:tr>
    </w:tbl>
    <w:p/>
    <w:p>
      <w:pPr>
        <w:pStyle w:val="Heading1"/>
      </w:pPr>
      <w:r>
        <w:t>一、为什么不是只做社区或平台试点</w:t>
      </w:r>
    </w:p>
    <w:p>
      <w:r>
        <w:rPr>
          <w:rFonts w:ascii="Noto Serif CJK SC" w:hAnsi="Noto Serif CJK SC" w:eastAsia="Noto Serif CJK SC"/>
          <w:b w:val="0"/>
          <w:color w:val="1F1F1F"/>
          <w:sz w:val="21"/>
        </w:rPr>
        <w:t>社区可以验证善意与局部协作，平台可以验证某项机制，企业可以验证激励与组织效率；但文明跃迁涉及生存保障、资源使用、贡献确认、权力边界、AGI治理和意义结构之间的组合关系。只有具备真实人口、权利、资源、利益冲突和长期运行条件的城市或地区，才能验证这些机制是否能够共同运行。</w:t>
      </w:r>
    </w:p>
    <w:p>
      <w:pPr>
        <w:pStyle w:val="Heading1"/>
      </w:pPr>
      <w:r>
        <w:t>二、当前阶段请求的不是批准方案，而是允许进入研究</w:t>
      </w:r>
    </w:p>
    <w:p>
      <w:r>
        <w:rPr>
          <w:rFonts w:ascii="Noto Serif CJK SC" w:hAnsi="Noto Serif CJK SC" w:eastAsia="Noto Serif CJK SC"/>
          <w:b w:val="0"/>
          <w:color w:val="1F1F1F"/>
          <w:sz w:val="21"/>
        </w:rPr>
        <w:t>启动阶段最需要的决定，是是否允许这一命题进入国家级研究与论证：组织法律、财政、技术、社会、伦理和治理能力，开展系统推演、基线调查、对抗性评审和有限验证。</w:t>
      </w:r>
    </w:p>
    <w:p>
      <w:pPr>
        <w:pStyle w:val="Heading1"/>
      </w:pPr>
      <w:r>
        <w:t>三、六类核心验证问题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rPr>
          <w:cantSplit/>
          <w:tblHeader/>
        </w:trPr>
        <w:tc>
          <w:tcPr>
            <w:tcW w:type="dxa" w:w="2268"/>
            <w:shd w:fill="1F4E7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系统</w:t>
            </w:r>
          </w:p>
        </w:tc>
        <w:tc>
          <w:tcPr>
            <w:tcW w:type="dxa" w:w="5102"/>
            <w:shd w:fill="1F4E7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核心问题</w:t>
            </w:r>
          </w:p>
        </w:tc>
        <w:tc>
          <w:tcPr>
            <w:tcW w:type="dxa" w:w="2381"/>
            <w:shd w:fill="1F4E7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目标指向</w:t>
            </w:r>
          </w:p>
        </w:tc>
      </w:tr>
      <w:tr>
        <w:trPr>
          <w:cantSplit/>
        </w:trP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基础生存保障</w:t>
            </w:r>
          </w:p>
        </w:tc>
        <w:tc>
          <w:tcPr>
            <w:tcW w:type="dxa" w:w="510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基本生存能否从排斥性救助转为文明能力增长后的底线配置</w:t>
            </w:r>
          </w:p>
        </w:tc>
        <w:tc>
          <w:tcPr>
            <w:tcW w:type="dxa" w:w="238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生存无忧</w:t>
            </w:r>
          </w:p>
        </w:tc>
      </w:tr>
      <w:tr>
        <w:trPr>
          <w:cantSplit/>
        </w:trP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4F7F9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城市资源池</w:t>
            </w:r>
          </w:p>
        </w:tc>
        <w:tc>
          <w:tcPr>
            <w:tcW w:type="dxa" w:w="510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4F7F9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资源能否在不先改变所有权的前提下从长期闲置进入真实使用</w:t>
            </w:r>
          </w:p>
        </w:tc>
        <w:tc>
          <w:tcPr>
            <w:tcW w:type="dxa" w:w="238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4F7F9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生存无忧/生活幸福</w:t>
            </w:r>
          </w:p>
        </w:tc>
      </w:tr>
      <w:tr>
        <w:trPr>
          <w:cantSplit/>
        </w:trP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贡献记录与治理信用</w:t>
            </w:r>
          </w:p>
        </w:tc>
        <w:tc>
          <w:tcPr>
            <w:tcW w:type="dxa" w:w="510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真实贡献能否被看见而不变成人格评分</w:t>
            </w:r>
          </w:p>
        </w:tc>
        <w:tc>
          <w:tcPr>
            <w:tcW w:type="dxa" w:w="238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三元目标</w:t>
            </w:r>
          </w:p>
        </w:tc>
      </w:tr>
      <w:tr>
        <w:trPr>
          <w:cantSplit/>
        </w:trP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4F7F9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三权分离</w:t>
            </w:r>
          </w:p>
        </w:tc>
        <w:tc>
          <w:tcPr>
            <w:tcW w:type="dxa" w:w="510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4F7F9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资源、专业与公众根本权利能否各归其位</w:t>
            </w:r>
          </w:p>
        </w:tc>
        <w:tc>
          <w:tcPr>
            <w:tcW w:type="dxa" w:w="238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4F7F9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治理不异化</w:t>
            </w:r>
          </w:p>
        </w:tc>
      </w:tr>
      <w:tr>
        <w:trPr>
          <w:cantSplit/>
        </w:trP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向善智能/AGI-COS</w:t>
            </w:r>
          </w:p>
        </w:tc>
        <w:tc>
          <w:tcPr>
            <w:tcW w:type="dxa" w:w="510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AI能否增强国家、城市和个人能力并守住人类终审</w:t>
            </w:r>
          </w:p>
        </w:tc>
        <w:tc>
          <w:tcPr>
            <w:tcW w:type="dxa" w:w="238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安全、发展、持续</w:t>
            </w:r>
          </w:p>
        </w:tc>
      </w:tr>
      <w:tr>
        <w:trPr>
          <w:cantSplit/>
        </w:trP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4F7F9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意义涌现与人心</w:t>
            </w:r>
          </w:p>
        </w:tc>
        <w:tc>
          <w:tcPr>
            <w:tcW w:type="dxa" w:w="510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4F7F9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技术进步之后，人是否更少孤独、更有价值感、更能彼此抵达</w:t>
            </w:r>
          </w:p>
        </w:tc>
        <w:tc>
          <w:tcPr>
            <w:tcW w:type="dxa" w:w="2381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4F7F9"/>
          </w:tcPr>
          <w:p>
            <w:r>
              <w:rPr>
                <w:rFonts w:ascii="Noto Serif CJK SC" w:hAnsi="Noto Serif CJK SC" w:eastAsia="Noto Serif CJK SC"/>
                <w:b w:val="0"/>
                <w:color w:val="1F1F1F"/>
                <w:sz w:val="17"/>
              </w:rPr>
              <w:t>生命更有意义</w:t>
            </w:r>
          </w:p>
        </w:tc>
      </w:tr>
    </w:tbl>
    <w:p/>
    <w:p>
      <w:pPr>
        <w:pStyle w:val="Heading1"/>
      </w:pPr>
      <w:r>
        <w:t>四、相位边界</w:t>
      </w:r>
    </w:p>
    <w:p>
      <w:pPr>
        <w:pStyle w:val="ListBullet"/>
        <w:ind w:left="425"/>
      </w:pPr>
      <w:r>
        <w:rPr>
          <w:rFonts w:ascii="Noto Serif CJK SC" w:hAnsi="Noto Serif CJK SC" w:eastAsia="Noto Serif CJK SC"/>
          <w:b w:val="0"/>
          <w:color w:val="1F1F1F"/>
          <w:sz w:val="21"/>
        </w:rPr>
        <w:t>启动期只采用自愿、可感收益、可退出和全员无损规则。</w:t>
      </w:r>
    </w:p>
    <w:p>
      <w:pPr>
        <w:pStyle w:val="ListBullet"/>
        <w:ind w:left="425"/>
      </w:pPr>
      <w:r>
        <w:rPr>
          <w:rFonts w:ascii="Noto Serif CJK SC" w:hAnsi="Noto Serif CJK SC" w:eastAsia="Noto Serif CJK SC"/>
          <w:b w:val="0"/>
          <w:color w:val="1F1F1F"/>
          <w:sz w:val="21"/>
        </w:rPr>
        <w:t>稳定期可能讨论的全域协调、产权形态或贡献治理，不得作为启动期义务。</w:t>
      </w:r>
    </w:p>
    <w:p>
      <w:pPr>
        <w:pStyle w:val="ListBullet"/>
        <w:ind w:left="425"/>
      </w:pPr>
      <w:r>
        <w:rPr>
          <w:rFonts w:ascii="Noto Serif CJK SC" w:hAnsi="Noto Serif CJK SC" w:eastAsia="Noto Serif CJK SC"/>
          <w:b w:val="0"/>
          <w:color w:val="1F1F1F"/>
          <w:sz w:val="21"/>
        </w:rPr>
        <w:t>相位由证据、社会接受、治理能力和风险条件触发，不按年份自动升级。</w:t>
      </w:r>
    </w:p>
    <w:p>
      <w:pPr>
        <w:pStyle w:val="ListBullet"/>
        <w:ind w:left="425"/>
      </w:pPr>
      <w:r>
        <w:rPr>
          <w:rFonts w:ascii="Noto Serif CJK SC" w:hAnsi="Noto Serif CJK SC" w:eastAsia="Noto Serif CJK SC"/>
          <w:b w:val="0"/>
          <w:color w:val="1F1F1F"/>
          <w:sz w:val="21"/>
        </w:rPr>
        <w:t>任何试验必须允许停止、回滚，并记录理论、方案、执行与相位错误。</w:t>
      </w:r>
    </w:p>
    <w:p>
      <w:pPr>
        <w:pStyle w:val="Heading1"/>
      </w:pPr>
      <w:r>
        <w:t>五、可由研究院先行进入的课题</w:t>
      </w:r>
    </w:p>
    <w:p>
      <w:pPr>
        <w:pStyle w:val="ListNumber"/>
        <w:ind w:left="425"/>
      </w:pPr>
      <w:r>
        <w:rPr>
          <w:rFonts w:ascii="Noto Serif CJK SC" w:hAnsi="Noto Serif CJK SC" w:eastAsia="Noto Serif CJK SC"/>
          <w:b w:val="0"/>
          <w:color w:val="1F1F1F"/>
          <w:sz w:val="21"/>
        </w:rPr>
        <w:t>城市级完整社会系统作为文明理论验证尺度的论证。</w:t>
      </w:r>
    </w:p>
    <w:p>
      <w:pPr>
        <w:pStyle w:val="ListNumber"/>
        <w:ind w:left="425"/>
      </w:pPr>
      <w:r>
        <w:rPr>
          <w:rFonts w:ascii="Noto Serif CJK SC" w:hAnsi="Noto Serif CJK SC" w:eastAsia="Noto Serif CJK SC"/>
          <w:b w:val="0"/>
          <w:color w:val="1F1F1F"/>
          <w:sz w:val="21"/>
        </w:rPr>
        <w:t>相位纪律与制度合法性：为何远期规则不能提前使用。</w:t>
      </w:r>
    </w:p>
    <w:p>
      <w:pPr>
        <w:pStyle w:val="ListNumber"/>
        <w:ind w:left="425"/>
      </w:pPr>
      <w:r>
        <w:rPr>
          <w:rFonts w:ascii="Noto Serif CJK SC" w:hAnsi="Noto Serif CJK SC" w:eastAsia="Noto Serif CJK SC"/>
          <w:b w:val="0"/>
          <w:color w:val="1F1F1F"/>
          <w:sz w:val="21"/>
        </w:rPr>
        <w:t>六大系统之间的因果依赖、冲突与最小验证组合。</w:t>
      </w:r>
    </w:p>
    <w:p>
      <w:pPr>
        <w:pStyle w:val="ListNumber"/>
        <w:ind w:left="425"/>
      </w:pPr>
      <w:r>
        <w:rPr>
          <w:rFonts w:ascii="Noto Serif CJK SC" w:hAnsi="Noto Serif CJK SC" w:eastAsia="Noto Serif CJK SC"/>
          <w:b w:val="0"/>
          <w:color w:val="1F1F1F"/>
          <w:sz w:val="21"/>
        </w:rPr>
        <w:t>如何建立不把人变成分数的贡献记录与公共承认。</w:t>
      </w:r>
    </w:p>
    <w:p>
      <w:pPr>
        <w:pStyle w:val="ListNumber"/>
        <w:ind w:left="425"/>
      </w:pPr>
      <w:r>
        <w:rPr>
          <w:rFonts w:ascii="Noto Serif CJK SC" w:hAnsi="Noto Serif CJK SC" w:eastAsia="Noto Serif CJK SC"/>
          <w:b w:val="0"/>
          <w:color w:val="1F1F1F"/>
          <w:sz w:val="21"/>
        </w:rPr>
        <w:t>文明高地的国内真实性与国际可信度如何形成。</w:t>
      </w:r>
    </w:p>
    <w:p>
      <w:r>
        <w:rPr>
          <w:rFonts w:ascii="Noto Serif CJK SC" w:hAnsi="Noto Serif CJK SC" w:eastAsia="Noto Serif CJK SC"/>
          <w:b w:val="0"/>
          <w:color w:val="1F1F1F"/>
          <w:sz w:val="21"/>
        </w:rPr>
        <w:t>完整《AGI时代文明跃迁国家级综合实验区建议书》属于后续专项材料，不在本包中以“已附全文”方式出现。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76" w:bottom="1134" w:left="1332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b w:val="0"/>
        <w:color w:val="666666"/>
        <w:sz w:val="17"/>
      </w:rPr>
      <w:t xml:space="preserve">文明跃迁研究组  |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 CJK SC" w:hAnsi="Noto Sans CJK SC" w:eastAsia="Noto Sans CJK SC"/>
        <w:b w:val="0"/>
        <w:color w:val="666666"/>
        <w:sz w:val="17"/>
      </w:rPr>
      <w:t>国家级综合实验区研究接口摘要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 w:after="80"/>
    </w:pPr>
    <w:rPr>
      <w:rFonts w:ascii="Noto Serif CJK SC" w:hAnsi="Noto Serif CJK SC" w:eastAsia="Noto Serif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7365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1F1F1F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AGI时代文明跃迁国家级综合实验区研究接口摘要</dc:title>
  <dc:subject>C4国家级综合实验区｜当前研究接口｜内容版本v2.0</dc:subject>
  <dc:creator>子君赋</dc:creator>
  <cp:keywords>文明跃迁;国家级综合实验区;研究接口;v2.0</cp:keywords>
  <dc:description>正文未改；仅同步文件名与文档核心元数据。</dc:description>
  <cp:lastModifiedBy>文明跃迁研究组</cp:lastModifiedBy>
  <cp:revision>1</cp:revision>
  <dcterms:created xsi:type="dcterms:W3CDTF">2013-12-23T23:15:00Z</dcterms:created>
  <dcterms:modified xsi:type="dcterms:W3CDTF">2013-12-23T23:15:00Z</dcterms:modified>
  <cp:category/>
</cp:coreProperties>
</file>