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从铁路并购到智能物流网络</w:t>
      </w:r>
    </w:p>
    <w:p>
      <w:pPr>
        <w:pStyle w:val="Subtitle"/>
      </w:pPr>
      <w:r>
        <w:t>AI 时代的整合机会与公共选择</w:t>
      </w:r>
    </w:p>
    <w:p>
      <w:r>
        <w:t>作者：子君赋　出品：文明跃迁研究组</w:t>
        <w:br/>
        <w:t>CCM 现实应用案例公开建议主文 V1.2.1　2026年9月16日</w:t>
      </w:r>
    </w:p>
    <w:p>
      <w:pPr>
        <w:spacing w:after="160"/>
      </w:pPr>
      <w:r>
        <w:t>公开研究建议　案号 FD 36873　事实核验截至2026年9月16日</w:t>
      </w:r>
    </w:p>
    <w:p>
      <w:r>
        <w:t>一宗铁路并购，表面上连接的是两家公司的线路。真正值得追问的是：它能否把原本彼此等待的工厂、仓库、列车、卡车和收货人，连接成一个更有效的协作网络？</w:t>
      </w:r>
    </w:p>
    <w:p>
      <w:r>
        <w:t>如果答案是肯定的，机会将不止属于铁路。如果连接的代价是所有参与者逐渐失去选择，效率又可能成为另一种依赖。</w:t>
      </w:r>
    </w:p>
    <w:p>
      <w:r>
        <w:t>Union Pacific（联合太平洋铁路，UP）与 Norfolk Southern（诺福克南方铁路，NS）的拟议合并，为这个问题提供了一个现实入口。本文提出的不是交易批准或否决意见，而是一条建设性建议：把并购讨论从资产规模推进到协作能力，在相同技术条件下比较不同整合方式，让新增价值、分配关系和长期后果同时进入决策。</w:t>
      </w:r>
    </w:p>
    <w:p>
      <w:pPr/>
      <w:r>
        <w:t>本文借这一真实案例，研究 AI 如何扩大协作的可能，并用 CCM 比较不同整合方式。机会属于能够创造、分享和持续改进协作能力的安排；哪一种安排更好，需要证据回答。一次交易的长远价值，也要看形成的能力能否被更多主体使用，逐步成为社会生产与流通的可靠基础。</w:t>
      </w:r>
    </w:p>
    <w:p>
      <w:pPr>
        <w:pStyle w:val="Heading1"/>
      </w:pPr>
      <w:r>
        <w:t>一 并购要解决的究竟是什么</w:t>
      </w:r>
    </w:p>
    <w:p>
      <w:r>
        <w:t>截至2026年9月16日本文核验，STB 已于8月18日恢复审查并确定程序安排，尚不能据此认定交易获批。[1] 申请方4月30日预计，每年约210万卡车装载量转向铁路可为货主节省35亿美元运输成本；更快、更可靠服务带来的库存与设备节省另计。[2] 两类收益必须分账。这些都是申请方预测，不是已兑现收益，也尚未证明全部只能由合并取得。</w:t>
      </w:r>
    </w:p>
    <w:p>
      <w:r>
        <w:t>从经营逻辑看，连续线路可能减少跨公司协调，统一部分投资和运营安排，改善跨区域服务。这是并购值得认真研究的一面。扩大市场覆盖、争取更多货源和提高资本回报，也都是可以理解的商业诉求；但不能把逻辑上可能存在的动机，写成对企业未公开意图的事实判断。</w:t>
      </w:r>
    </w:p>
    <w:p>
      <w:r>
        <w:t>行业竞争最终落到客户的选择：这批货物能否按约抵达，异常由谁负责，总账是否划算。铁路主干即使运行顺畅，只要仓库、接驳或交接环节失配，客户仍可能承担等待。分析整合价值，因而不能停在铁路地图上。</w:t>
      </w:r>
    </w:p>
    <w:p>
      <w:r>
        <w:t>还有一项重要事实：双方2025年9月15日联合公告提出，经堪萨斯城连接路易斯维尔与美国西部、南部市场的双向国内联运产品，预计当年10月中旬开始。公告把它称为又一次跨公司产品开发，并列举既有洛杉矶至夏洛特、杰克逊维尔服务。[3] 合并宣布后，双方仍在推进独立企业之间的合作；这支持保留“不合并但继续改善联运”的比较路径，不能将其视为停滞基线。公告本身不证明新服务已按期投运或达到承诺效果。</w:t>
      </w:r>
    </w:p>
    <w:p>
      <w:pPr>
        <w:pStyle w:val="Heading1"/>
      </w:pPr>
      <w:r>
        <w:t>二 AI 改变的是协作的可能性</w:t>
      </w:r>
    </w:p>
    <w:p>
      <w:r>
        <w:t>传统协作的困难，往往不只在某辆车不够快，而在各方看见的信息不同、接受的约束不同、承担的责任也不同。工厂调整生产，仓库未必及时知道；列车提前到达，接驳车辆未必已经安排。每一方都在优化自己，整条链却可能同时付出代价。</w:t>
      </w:r>
    </w:p>
    <w:p>
      <w:r>
        <w:t>AI 可以成为处理这类问题的重要工具：预测到达和需求、识别异常、比较调度方案，在取得授权后协调预约与作业。本文建议检验这些用途，不把某条走廊尚未测得的效果当作现成事实。</w:t>
      </w:r>
    </w:p>
    <w:p>
      <w:r>
        <w:t>它可能使过去因信息与协调成本太高而难以实现的合作变得可行。但 AI 也可能帮助强势主体更精细地定价、分配运力和排除竞争者。技术增强的是行动能力；能力服务于什么目标，仍取决于规则与选择。</w:t>
      </w:r>
    </w:p>
    <w:p>
      <w:r>
        <w:t>因此必须设置公平的比较：独立经营但采用开放接口、联合排班和 AI 协作的网络，与合并后采用相近技术能力的网络相比，各自怎样？不能让“合并方案”拥有未来技术，却把“不合并方案”留在昨天。若主张合并与 AI 存在额外协同，也应说明独立协作为什么难以复制。</w:t>
      </w:r>
    </w:p>
    <w:p>
      <w:pPr>
        <w:pStyle w:val="Heading1"/>
      </w:pPr>
      <w:r>
        <w:t>三 从整箱主干走向端到端服务</w:t>
      </w:r>
    </w:p>
    <w:p>
      <w:r>
        <w:t>以下是超出本案已披露实施范围的远景研究。铁路承担适合它的长距离主干，接驳车辆连接园区与仓库，分拨系统处理集拼和拆箱，末端网络完成交付。符合运行条件的无人卡车和低空飞行器，可在特定环节加入。客户购买的是一次有责任承接的运输，而不是自行拼接的一串陌生服务。</w:t>
      </w:r>
    </w:p>
    <w:p>
      <w:r>
        <w:t>这也为散件服务打开了研究空间。许多小订单可以先在区域内集拼，进入干线，到达后再分拨。但铁路能承运集装箱，不等于每一件包裹都适合走铁路。货量密度、装载率、分拣和退货成本、时效窗口，决定这种安排是否成立。低空运输同样受载荷、天气、噪声、安全和获准运行范围约束，不应被写成重载干线的普遍替代。</w:t>
      </w:r>
    </w:p>
    <w:p>
      <w:r>
        <w:t>再向生产端延伸，物流信息可以帮助工厂安排物料与生产，帮助农场匹配采收、冷链和市场。更高自动化的工厂，也需要面对物流中断、原料波动和客户变化。值得建设的是能相互理解并协调的接口，而不是假定每家工厂、每块农场都必须加入同一个所有权体系。</w:t>
      </w:r>
    </w:p>
    <w:p>
      <w:r>
        <w:t>随着能力提高，未来可能出现更广泛的自主协调。我们不需要先断言 AGI 何时成熟，才能为今天的接口留下开放性；也不应等系统高度自治以后，才补问谁有权改变目标、谁能停止错误指令。</w:t>
      </w:r>
    </w:p>
    <w:p>
      <w:pPr>
        <w:pStyle w:val="Heading1"/>
      </w:pPr>
      <w:r>
        <w:t>四 智能网络会成为后续整合的优势</w:t>
      </w:r>
    </w:p>
    <w:p>
      <w:r>
        <w:t>一旦一个网络拥有可复用的调度、结算、追踪和异常处理能力，新增一个仓库、一家承运商或一段线路的协调成本就可能下降。这会提高它通过收购、联盟或服务接入继续扩展的能力。该判断是一种机制推演，不是对本次交易已经形成此能力的认定。</w:t>
      </w:r>
    </w:p>
    <w:p>
      <w:r>
        <w:t>正向循环是：接入增加可用能力，匹配改善减少空转，更稳定的服务吸引客户，再支持新的投入。反向循环也可能发生：客户越多，替代网络越难生存；接口越深，退出越贵；掌握规则的一方逐渐决定其他参与者能否获得订单。</w:t>
      </w:r>
    </w:p>
    <w:p>
      <w:pPr/>
      <w:r>
        <w:t>判断哪一种循环正在发生，应连续记录第三方完整接入申请到决定的处理时长、已决定申请的拒绝率及理由，并另列长期未决比例；比较同类申请者的接入费用与条件是否随时间改变；记录客户从提出数据迁出、切换服务要求，到数据可用且替代服务实际完成首票运输的周期与费用。按走廊、申请类型和时期分组，才能区分容量或安全限制与排他性障碍。上述均为待观测指标，本稿尚无本案实测值，单个指标也不独立证明因果。</w:t>
      </w:r>
    </w:p>
    <w:p>
      <w:r>
        <w:t>同一个智能网络，可能成为行业共同利用的基础设施，也可能成为收取通行代价的封闭入口。规模本身不能替我们完成这项判断。每一轮后续整合，都应重新核对它增加了哪些能力，又减少了哪些选择。</w:t>
      </w:r>
    </w:p>
    <w:p>
      <w:pPr/>
      <w:r>
        <w:t>这些观测应反过来约束远景规划：互操作接口是否真的缩短接入，备用能力是否真的支持切换，应由使用结果判断。无论选择并购、联盟还是服务接入，CCM 都应在每次扩展时重新检查增量价值、承担者和退出条件，让有效做法能够跨网络复用。这里提出的是未来检验路径，尚未完成本案后续并购循环的模拟。</w:t>
      </w:r>
    </w:p>
    <w:p>
      <w:pPr>
        <w:pStyle w:val="Heading1"/>
      </w:pPr>
      <w:r>
        <w:t>五 CCM 把各方放回同一张账上</w:t>
      </w:r>
    </w:p>
    <w:p>
      <w:r>
        <w:t>竞争合作可计算机制（CCM）的作用，是把主体、收益、代价、约束和未知项明确写出来，并对其中已有定义和数据的部分进行可复算检查。它不替代商业判断或公共决策，也不把所有人的权益压成一个总分。</w:t>
      </w:r>
    </w:p>
    <w:p>
      <w:r>
        <w:t>对于股东和经营者，需要看新增收入、资本投入、整合风险与兑现时间；对于货主，需要看总价、可靠性和替代选择；对于员工与司机，需要看就业变化、技能转型、劳动强度以及谁承担等待；对于连接承运商，需要看接入与结算是否公平；对于社区，需要看噪声、排放、交通阻隔与事故风险。这里列出的是待检查的利益关系，不是对各方实际损益的预判。</w:t>
      </w:r>
    </w:p>
    <w:p>
      <w:pPr>
        <w:pStyle w:val="Heading2"/>
      </w:pPr>
      <w:r>
        <w:t>运输转移账</w:t>
      </w:r>
    </w:p>
    <w:p>
      <w:r>
        <w:t>35亿美元除以210万载，隐含每载约1,667美元的平均运输节省。这是总量除法，不是走廊报价；须先确认两项总量的范围与期间一致。验证申请方预测，应核对各走廊可转移货量、卡车与铁路全程价差，以及首末端费用和加权方法。[2]</w:t>
      </w:r>
    </w:p>
    <w:p>
      <w:pPr/>
      <w:r>
        <w:t>货量与价差同时走弱时，总量节省会相应下降。FreightWaves 4月30日报道将转移预测从200万载上调至210万载的理由归为卡车运价上行。[5] 这是已发现的二手归因线索，尚未按申请底稿核实。运价周期、铁路服务质量与接驳能力都会影响结果；应检验这些变化，而不把它们自动归给合并。</w:t>
      </w:r>
    </w:p>
    <w:p>
      <w:pPr>
        <w:pStyle w:val="Heading2"/>
      </w:pPr>
      <w:r>
        <w:t>库存时间账</w:t>
      </w:r>
    </w:p>
    <w:p>
      <w:pPr/>
      <w:r>
        <w:t>库存与设备节省另计。假设每箱货值10万美元、年持有率20%，节约25小时的在途库存成本约为57美元。这只说明该假设下的一条收益通道，不是35亿美元的验证或反证。停产、缺货、可靠性与设备周转可能带来其他价值，须另取证据并避免重复计入；完整算式与量级对照见文后。</w:t>
      </w:r>
    </w:p>
    <w:p>
      <w:pPr/>
      <w:r>
        <w:t>25小时的公开参照来自2025年9月联合公告：UP 称，南加州往返堪萨斯城联运站的网络运营改善最多节省25小时。[3] 申请方2026年4月则主张，合并消除跨公司交接，可去掉现有交接可能带来的24至48小时。[2] 两者都是企业口径，后者不是已测得的走廊均值。两种机制可以并存；是否作用于同一批订单、能否相加，须核对走廊、区段、时序和重叠，不能先验相减或相加。即使总改善可相加，已进入独立经营基线的改善也不能再次计为合并增益。</w:t>
      </w:r>
    </w:p>
    <w:p>
      <w:pPr>
        <w:pStyle w:val="Heading2"/>
      </w:pPr>
      <w:r>
        <w:t>同等技术下的比较账</w:t>
      </w:r>
    </w:p>
    <w:p>
      <w:pPr/>
      <w:r>
        <w:t>在相同 AI 能力、市场价格与需求条件下，独立协作方案 A1 已能吸收多少货量，合并方案 B1 又增加多少？应比较各自可转移货量及全程价差，再另计库存与可靠性收益。现有走廊模型没有全网货量转移模型，不能核验35亿美元，也不能先把210万载认定为合并独有收益。CCM 在这里把“大额收益承诺”转成可逐项回答的问题，为改进合作方案找到着力点。</w:t>
      </w:r>
    </w:p>
    <w:p>
      <w:r>
        <w:t>更重要的是，货主节省的钱不能自动抵消司机失去的休息，企业利润也不能自动代表社区同意承担新风险。能够补偿的损失，要说明谁付、何时付、如何执行；涉及安全和权利的边界，要由有权主体依适用规则确立，不能让模型悄悄代画。</w:t>
      </w:r>
    </w:p>
    <w:p>
      <w:r>
        <w:t>在这个案例中，CCM 最有用的发现不是一个“合并得分”，而是三项需要分开的判断：技术能创造多少价值，所有权整合额外创造多少价值，这些价值和代价最终落到谁身上。</w:t>
      </w:r>
    </w:p>
    <w:p>
      <w:pPr>
        <w:pStyle w:val="Heading1"/>
      </w:pPr>
      <w:r>
        <w:t>六 我们如何用 CCM 分析这宗并购</w:t>
      </w:r>
    </w:p>
    <w:p>
      <w:pPr>
        <w:keepNext w:val="0"/>
        <w:keepLines w:val="0"/>
      </w:pPr>
      <w:r>
        <w:t>本案采用“明确问题—识别主体—构造方案—登记证据—计算与检查—修改建议”的过程。CCM 参考程序承担其中可确定计算和已声明条件的检查；研究者负责提出问题、构造方案与解释结果。本文的战略判断不是程序自动生成的交易结论。</w:t>
      </w:r>
    </w:p>
    <w:p>
      <w:pPr>
        <w:keepNext w:val="0"/>
        <w:keepLines w:val="0"/>
      </w:pPr>
      <w:r>
        <w:t>先把问题从是否合并展开为：在 AI 持续发展的条件下，什么竞争合作安排能够改善端到端物流，同时合理安排收益、代价、责任与纠错能力？这一问题允许并购、开放联运、共同接口、联合调度和分阶段整合进入比较，避免先决定答案，再为答案寻找数据。</w:t>
      </w:r>
    </w:p>
    <w:p>
      <w:pPr>
        <w:keepNext w:val="0"/>
        <w:keepLines w:val="0"/>
      </w:pPr>
      <w:r>
        <w:t>随后登记主体与结果。企业和投资者对应收入、资本与整合风险；货主对应总费用、可靠性与替代选择；员工和司机对应岗位、收入及等待成本；连接承运商对应接入、结算与议价；工厂和农场对应生产衔接、损耗与依赖；社区对应安全、环境和交通影响。登记不等于取得意见或完成量化。现有成本程序仅计算货主侧费用、运输时间和在途库存成本；员工、社区、连接承运商及运营者仅有待验证字段，尚无损益模型。企业资本回报、工厂和农场结果尚未纳入数值核算，工厂和农场也未作为独立主体写入当前检查器输入。</w:t>
      </w:r>
    </w:p>
    <w:p>
      <w:pPr>
        <w:keepNext w:val="0"/>
        <w:keepLines w:val="0"/>
      </w:pPr>
      <w:r>
        <w:t>建立四个对照方案：A0为基础技术下的独立联运，A1为增强 AI 下的独立开放协作，B0为基础技术下的假设合并，B1为采用可比较 AI 能力的假设合并。主要比较B1与A1，另以A1对A0、B1对B0研究技术作用。四格用于组织研究问题，目前没有四套真实订单数据，不能宣称已经完成四方案的实证排名。</w:t>
      </w:r>
    </w:p>
    <w:p>
      <w:pPr>
        <w:keepNext w:val="0"/>
        <w:keepLines w:val="0"/>
      </w:pPr>
      <w:r>
        <w:t>每项输入保留性质和出处。公开公告证明事件或规则曾被披露；企业预测记录为申请方主张；货值、持有率和节时等敏感性参数标为研究假设；缺少适用证据的报价、时效和第三方影响则保留为空值。模型读到空值时，不把它当成零，也不拿全网平均值悄悄补成走廊实绩。</w:t>
      </w:r>
    </w:p>
    <w:p>
      <w:pPr/>
      <w:r>
        <w:t>目前程序已生成36组假设成本结果，经验性条件则全部未知，尚未形成任何真实方案的满足或违反判定。它展示了可复算的工作流程，尚未证明本案的判别力或条件选型合理。运行细节与旧代码边界列在文后；下一步应以真实走廊试点检验和修改这套方法。</w:t>
      </w:r>
    </w:p>
    <w:p>
      <w:pPr/>
      <w:r>
        <w:t>下述条件分层是本主文的修订设计，尚未写入旧模型包；旧程序的整体状态不能代表新设计已经实现。</w:t>
      </w:r>
    </w:p>
    <w:p>
      <w:pPr>
        <w:keepNext w:val="0"/>
        <w:keepLines w:val="0"/>
      </w:pPr>
      <w:r>
        <w:t>本次修订将条件分为两个层级。货主成本增量和时间增量改为带方向、单位和不确定性的报告项；“两者均不增加”只是一个可选比较偏好。货主自愿付费提速时，应报告增加多少费用、获得何种时效及其同意依据，不能仅因成本为正就判整个方案不可接受。劳动转型、社区安全、非歧视接入、人工接管和回退演练列为五项拟议边界；只有确认适用标准、权限和核验办法后，才可将其中相应要求设为硬条件。</w:t>
      </w:r>
    </w:p>
    <w:p>
      <w:pPr>
        <w:keepNext w:val="0"/>
        <w:keepLines w:val="0"/>
      </w:pPr>
      <w:r>
        <w:t>条件的正当性必须先于计算。对每项拟议边界，应登记提出者、受影响主体、标准来源、有权决定者、核验人及有效期。1、0和空值仅表示按已声明标准有据通过、有据未通过和未知；“有方案”不等于方案充分，“做过演练”不等于足以保证安全。标准尚未确立时，应标为待确立，不用一个未知数遮掩规范来源缺失。</w:t>
      </w:r>
    </w:p>
    <w:p>
      <w:pPr>
        <w:keepNext w:val="0"/>
        <w:keepLines w:val="0"/>
      </w:pPr>
      <w:r>
        <w:t>结果怎样改变建议？既有联运公告促使我们保留独立协作方案；技术与所有权的拆分，阻止把全部 AI 收益归给并购；成本核算把接驳、等待与附加费用带回分析；主体登记使转型成本和社区影响进入建议；对依赖与纠错的追问，则使开放接口、人工接管和替代服务成为规划内容。这里同时使用了文献证据、机制推理与程序检查，不能把全部发现都归功于计算器。</w:t>
      </w:r>
    </w:p>
    <w:p>
      <w:pPr>
        <w:keepNext w:val="0"/>
        <w:keepLines w:val="0"/>
      </w:pPr>
      <w:r>
        <w:t>最后，保留反馈和修改的路径。将来取得适用订单后，可以替换空值、重算成本与时效，再按明确标准核验第三方条件。如果某个方案让货主获益却增加司机无偿等待，应修改预约、计费或补偿安排后再比较；不能用更高的总分遮盖这一冲突。若各方同意改变某项条件，也应保留原条件、修改理由和重新计算结果。</w:t>
      </w:r>
    </w:p>
    <w:p>
      <w:pPr>
        <w:keepNext w:val="0"/>
        <w:keepLines w:val="0"/>
      </w:pPr>
      <w:r>
        <w:t>当前未完成的部分包括无人运输的长期扩展、后续并购循环、市场力量变化及全社会净福利的完整模拟。这些在本文中属于机制分析和远景规划。现有工具的价值是让可计算部分可复算、证据缺口可见、条件可追问，而不是用一个状态替代所有判断。</w:t>
      </w:r>
    </w:p>
    <w:p>
      <w:pPr>
        <w:keepNext w:val="0"/>
        <w:keepLines w:val="0"/>
      </w:pPr>
      <w:r>
        <w:t>利益相关方分析、成本效益分析和情景规划早已有相关方法。CCM 在本案中的价值，需要通过把这些工作组织成可追溯、可检查、可修改的过程来证明；不能仅靠一个名称宣称其独特性。</w:t>
      </w:r>
    </w:p>
    <w:p>
      <w:pPr>
        <w:pStyle w:val="Heading1"/>
      </w:pPr>
      <w:r>
        <w:t>七 给企业与相关参与者的公开建议</w:t>
      </w:r>
    </w:p>
    <w:p>
      <w:r>
        <w:t>第一，先公布一个可检验的端到端服务方案。选定走廊、货类、订单口径与承诺时窗，说明基线、费用、责任和异常处置。分开报告模式转移运输节省与库存、设备、可靠性收益，并展示货量和相对运价敏感性。将持续改善的独立协作方案纳入比较，说明210万载预测中哪些增量可归因于合并，给支持者和质疑者同样清楚的核对对象。</w:t>
      </w:r>
    </w:p>
    <w:p>
      <w:r>
        <w:t>第二，以一个可回退的走廊试点积累能力。先选稳定货源，验证到达预测、预约衔接和费用预警，同时保留独立协作的比较方案；再在适用条件下加入无人接驳与仓库自动化。每阶段记录效率、参与者收益与代价，设置负责人、人工接管和退出办法。散件集拼、工厂与农场连接作为后续扩展方向，待货量密度、服务可靠性和成本依据成立后再推进。</w:t>
      </w:r>
    </w:p>
    <w:p>
      <w:r>
        <w:t>第三，把开放接入写进商业安排。制定可解释的服务条件、数据使用边界和争议处理方式；允许符合条件的第三方接入，支持客户转移自身数据和更换服务。开放不意味着公开商业秘密，而是避免用不必要的信息封闭制造依赖。</w:t>
      </w:r>
    </w:p>
    <w:p>
      <w:r>
        <w:t>第四，让转型成本有承担者。员工培训和岗位变化、司机等待和改约、社区受影响情形，都应进入方案与预算。不能只在收益预测中计算自动化，又把适应自动化的代价留给别人。</w:t>
      </w:r>
    </w:p>
    <w:p>
      <w:r>
        <w:t>第五，为集中失效保留替代路径。调度错误、网络中断或服务争议发生时，应能隔离局部、人工接管并转向其他服务。系统规模越大，越不应让一次错误同时封住所有人的退路。</w:t>
      </w:r>
    </w:p>
    <w:p>
      <w:r>
        <w:t>以上是研究建议，不是新增的法定批准条件。截至2026年9月16日，本研究尚未取得足以完成同口径订单比较和全网转移复算的数据。STB 8月18日决定要求于8月28日前重新提交未筛选工作底稿，并明确供委员会及保护令下获授权者查阅。[4] 本稿未核实重提履行情况；应核对实际文件、版本和访问条件。</w:t>
      </w:r>
    </w:p>
    <w:p>
      <w:pPr/>
      <w:r>
        <w:t>希望进入案卷持续参与的主体，应留意2026年9月30日的参与意向通知期限，以及11月18日的评论、异议与附条件请求期限。[1][4] 要复算转移预测，可先向申请方索取公开底稿及目录；涉及保密资料，再核对保护令的资格、承诺书与用途限制，由符合条件的人员申请访问。[6] 参与通知和保密访问授权须分别办理，前者不自动赋予查阅权，也不能把9月30日说成所有资料申请或公众评论的统一关闭日期。</w:t>
      </w:r>
    </w:p>
    <w:p>
      <w:pPr/>
      <w:r>
        <w:t>这是一段持续审查过程：司法部与运输部的初步意见如有提交，期限为2026年12月3日；答复与支持申请的反驳意见为2027年2月16日；最终书面意见为5月28日，公开听证日期另定。[4] 后续提交须符合各阶段规则，不能将其理解为可随时追加任何证据。正式文件应标注 FD 36873，并按 STB 案件页核对送达和最新要求。公开研究仍可持续提出可检验问题、改进方法；是否正式参与案卷，应由有意愿和资源的主体决定。</w:t>
      </w:r>
    </w:p>
    <w:p>
      <w:pPr>
        <w:pStyle w:val="Heading1"/>
      </w:pPr>
      <w:r>
        <w:t>八 从一个案例走向一种选择</w:t>
      </w:r>
    </w:p>
    <w:p>
      <w:r>
        <w:t>这套方法不只适用于铁路。港口、能源、医疗、供应链乃至公共服务引入 AI 时，都可能遇到相近的问题：局部效率提高，整体是否受益？能力更集中，参与者是否还有选择？承诺落空，谁能纠正？</w:t>
      </w:r>
    </w:p>
    <w:p>
      <w:r>
        <w:t>CCM 项目不要求研究者先建成一个大型平台。它提供小而可运行的开源基础，邀请使用者带入真实问题，补充证据，质疑假设，也修改方法。真正的检验，是它能否帮助人们找到原来没有看见、又能够共同承担的解法。</w:t>
      </w:r>
    </w:p>
    <w:p>
      <w:r>
        <w:t>AI 给我们的，不只是需要防范的新风险，也包括重新组织合作的机会。机会能否兑现，取决于我们是否愿意把别人的处境一同放进设计。</w:t>
      </w:r>
    </w:p>
    <w:p>
      <w:r>
        <w:t>当这样的做法进入运输合同、企业接口和公共规则，改变的就不只是一条物流线路。更高效的协作可以成为更普遍的机会，更强大的能力也可以保留被纠正的可能。</w:t>
      </w:r>
    </w:p>
    <w:p>
      <w:r>
        <w:t>文明的改变，开始于能力增长之后，我们仍然愿意为彼此保留选择。</w:t>
      </w:r>
    </w:p>
    <w:p>
      <w:pPr>
        <w:pStyle w:val="Heading1"/>
      </w:pPr>
      <w:r>
        <w:t>参与与续读</w:t>
      </w:r>
    </w:p>
    <w:p>
      <w:r>
        <w:t>带一个你熟悉的协作问题来：谁获益，谁承担代价，哪些事情还不知道？可以从 CCM 开源项目开始复算或提出反例。请勿提交未经授权的客户资料、合同或个人信息。希望进一步理解这些选择与文明运行方式的关系，可续读《文明跃迁》五卷书与《活的文明》三部曲；使用 CCM 无须先接受整套理论。</w:t>
      </w:r>
    </w:p>
    <w:p>
      <w:pPr/>
      <w:r>
        <w:t>动手复算前请先另存工作副本：现有 run.py 会重新生成默认空值输入并覆盖 outputs 中的派生文件。不要只改 outputs 再运行。接入真实订单须先在可追溯副本中修改输入生成逻辑，保存原始依据、单位和版本；现有入口尚不支持任意订单直接导入。本主文提出的条件分层也尚未写入旧程序。</w:t>
      </w:r>
    </w:p>
    <w:p>
      <w:hyperlink r:id="rId9">
        <w:r>
          <w:t>CCM 开源项目与使用入口</w:t>
        </w:r>
      </w:hyperlink>
    </w:p>
    <w:p>
      <w:pPr>
        <w:pStyle w:val="Heading2"/>
      </w:pPr>
      <w:r>
        <w:t>算例补充</w:t>
      </w:r>
    </w:p>
    <w:p>
      <w:pPr/>
      <w:r>
        <w:t>库存算式为100,000×20%×25÷8,760＝57.0776美元。若取24至48小时，同样假设对应54.7945至109.5890美元，约为1,666.67美元隐含均值的3.29%至6.58%。这是不同口径的量级对照，不能据此说每票运输实际只省57美元，或以此否定35亿美元。</w:t>
      </w:r>
    </w:p>
    <w:p>
      <w:pPr/>
      <w:r>
        <w:t>仅作运输收益敏感性演示：若货量与每载价差均比隐含基准低20%，35亿×0.8×0.8＝22.4亿美元。它不是预测，也不是现有走廊程序的实证输出。</w:t>
      </w:r>
    </w:p>
    <w:p>
      <w:pPr>
        <w:pStyle w:val="Heading1"/>
      </w:pPr>
      <w:r>
        <w:t>复算入口与文件对应</w:t>
      </w:r>
    </w:p>
    <w:p>
      <w:pPr>
        <w:keepNext w:val="0"/>
        <w:keepLines w:val="0"/>
      </w:pPr>
      <w:r>
        <w:t>模型 V1.2以美元每箱和小时核算货主费用与库存成本，费用和时间段须去重。3档货值、3档持有率与4档额外节时产生36组纯参数结果，不含真实订单。文后运输总量敏感性为单独算术演示，不是程序已实现的货量预测。</w:t>
      </w:r>
    </w:p>
    <w:p>
      <w:pPr>
        <w:keepNext w:val="0"/>
        <w:keepLines w:val="0"/>
      </w:pPr>
      <w:r>
        <w:t>历史 V1.2 将七项都设为硬条件：任一有据违反则整体为 VIOLATED；无违反但仍有未知则为 UNKNOWN；全部满足才为 SATISFIED。七项经验值均未知，未形成任何经验性满足或违反判定。</w:t>
      </w:r>
    </w:p>
    <w:p>
      <w:pPr/>
      <w:r>
        <w:t>版本边界也必须明确：上述“两个报告项加五项拟议边界”是本主文 V1.2.1 的修订设计，未改写走廊成本模型 V1.2 的历史代码和输出。旧包仍用于复现七项硬条件的旧运行，不能据其整体状态宣称新设计已实现。后续实现应先更新条件配置及输入结构，并增加“自愿付费提速不触发整体否决”等针对性验证。既有合成测试能检查程序分支，但不能证明本案条件集合选型合理；全部经验值未知时，现实适用性也尚未经检验。</w:t>
      </w:r>
    </w:p>
    <w:p>
      <w:pPr/>
      <w:r>
        <w:t>历史运行以《CCM REAL MA 01 走廊成本模型 V1.2》配套包复现。其 case_id 为 REAL_MA_01_CORRIDOR_V1_2，使用 coop.case.v0.1 结构及 CCM v0.1.0 参考检查器。本主文 V1.2.1 与模型 V1.2 是不同文件的版本号；本文修订不代表模型同步升级，不新增真实数据或测试成绩。</w:t>
      </w:r>
    </w:p>
    <w:p>
      <w:pPr/>
      <w:r>
        <w:t>model.py 定义成本核算与本案条件；run.py 生成输入和派生结果；mechanism_ref/core.py 执行声明条件检查。outputs/empirical_inputs.json 保留经验性空值，outputs/conditional_break_even.csv 保存36组假设算例；outputs/ccm_input.json 和 outputs/ccm_result.json 对应声明输入与检查结果。</w:t>
      </w:r>
    </w:p>
    <w:p>
      <w:pPr/>
      <w:r>
        <w:t>在解压目录运行 python -m unittest -v test_model 检查实现，再运行 python run.py 复现历史输出。既有12项测试检查未知值传播、非有限或负数拒绝、成本核算、条件违反和同量 AI 节时的相消等行为。测试通过只证明已测实现行为，不证明交易效果、经验判别力或条件选型适当。输入指纹支持追溯被检查文件，不认证数据真实。</w:t>
      </w:r>
    </w:p>
    <w:p>
      <w:pPr>
        <w:pStyle w:val="Heading1"/>
      </w:pPr>
      <w:r>
        <w:t>事实来源与研究边界</w:t>
      </w:r>
    </w:p>
    <w:p>
      <w:r>
        <w:t>本文事实核验截至2026年9月16日。来源[1]至[4]及[6]为监管或申请方原始材料，[5]为二手报道，归因未按底稿核实。无人物流、生产端整合及后续并购循环为远景分析，不是企业已公布实施承诺。本文不构成交易批准或否决意见、净效果认证，未提交监管机构或企业；AI 辅助资料核对、推演与文字整理。</w:t>
      </w:r>
    </w:p>
    <w:p>
      <w:pPr>
        <w:spacing w:before="0" w:after="80" w:line="264" w:lineRule="auto"/>
      </w:pPr>
      <w:hyperlink r:id="rId10">
        <w:r>
          <w:rPr>
            <w:sz w:val="20"/>
          </w:rPr>
          <w:t>[1] STB　UP NS Merger Resources　程序状态及8月31日期限延长</w:t>
        </w:r>
      </w:hyperlink>
    </w:p>
    <w:p>
      <w:pPr>
        <w:spacing w:before="0" w:after="80" w:line="264" w:lineRule="auto"/>
      </w:pPr>
      <w:hyperlink r:id="rId11">
        <w:r>
          <w:rPr>
            <w:sz w:val="20"/>
          </w:rPr>
          <w:t>[2] UP　2026年4月30日修订申请公告　运输节省与另计收益</w:t>
        </w:r>
      </w:hyperlink>
    </w:p>
    <w:p>
      <w:pPr>
        <w:spacing w:before="0" w:after="80" w:line="264" w:lineRule="auto"/>
      </w:pPr>
      <w:hyperlink r:id="rId13">
        <w:r>
          <w:rPr>
            <w:sz w:val="20"/>
          </w:rPr>
          <w:t>[3] UP 与 NS　2025年9月15日联合联运公告　NS 官方发布</w:t>
        </w:r>
      </w:hyperlink>
    </w:p>
    <w:p>
      <w:pPr>
        <w:spacing w:before="0" w:after="80" w:line="264" w:lineRule="auto"/>
      </w:pPr>
      <w:hyperlink r:id="rId15">
        <w:r>
          <w:rPr>
            <w:sz w:val="20"/>
          </w:rPr>
          <w:t>[4] STB　2026年8月18日决定　第5页底稿访问及第13至14页程序表</w:t>
        </w:r>
      </w:hyperlink>
    </w:p>
    <w:p>
      <w:pPr>
        <w:spacing w:before="0" w:after="80" w:line="264" w:lineRule="auto"/>
      </w:pPr>
      <w:hyperlink r:id="rId16">
        <w:r>
          <w:rPr>
            <w:sz w:val="20"/>
          </w:rPr>
          <w:t>[5] FreightWaves　2026年4月30日报道　转移量上调归因的二手线索</w:t>
        </w:r>
      </w:hyperlink>
    </w:p>
    <w:p>
      <w:pPr>
        <w:spacing w:before="0" w:after="80" w:line="264" w:lineRule="auto"/>
      </w:pPr>
      <w:hyperlink r:id="rId17">
        <w:r>
          <w:rPr>
            <w:sz w:val="20"/>
          </w:rPr>
          <w:t>[6] 申请方　修订申请第一卷提交函　公开与保密底稿申请方式</w:t>
        </w:r>
      </w:hyperlink>
    </w:p>
    <w:p>
      <w:r>
        <w:t>研究支撑：CCM REAL MA 01 走廊成本模型 V1.2；公开证据核验与应用建议 V1.3。模型保留历史计算和旧条件配置；本稿为主文 V1.2.1 定向终校，不代表代码升级或取得新经验数据。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 w:val="0"/>
      <w:pageBreakBefore w:val="0"/>
      <w:spacing w:line="276" w:lineRule="auto" w:after="160"/>
    </w:pPr>
    <w:rPr>
      <w:rFonts w:ascii="Noto Sans SC" w:hAnsi="Noto Sans SC" w:eastAsia="Noto Sans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480" w:after="160" w:line="276" w:lineRule="auto"/>
      <w:outlineLvl w:val="0"/>
    </w:pPr>
    <w:rPr>
      <w:rFonts w:asciiTheme="majorHAnsi" w:eastAsiaTheme="majorEastAsia" w:hAnsiTheme="majorHAnsi" w:cstheme="majorBidi" w:ascii="Noto Sans SC" w:hAnsi="Noto Sans SC" w:eastAsia="Noto Sans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ageBreakBefore w:val="0"/>
      <w:spacing w:after="160" w:line="276" w:lineRule="auto"/>
      <w:contextualSpacing/>
    </w:pPr>
    <w:rPr>
      <w:rFonts w:asciiTheme="majorHAnsi" w:eastAsiaTheme="majorEastAsia" w:hAnsiTheme="majorHAnsi" w:cstheme="majorBidi" w:ascii="Noto Sans SC" w:hAnsi="Noto Sans SC" w:eastAsia="Noto Sans SC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pageBreakBefore w:val="0"/>
      <w:numPr>
        <w:ilvl w:val="1"/>
      </w:numPr>
      <w:spacing w:line="276" w:lineRule="auto" w:after="160"/>
    </w:pPr>
    <w:rPr>
      <w:rFonts w:asciiTheme="majorHAnsi" w:eastAsiaTheme="majorEastAsia" w:hAnsiTheme="majorHAnsi" w:cstheme="majorBidi" w:ascii="Noto Sans SC" w:hAnsi="Noto Sans SC" w:eastAsia="Noto Sans SC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github.com/Civilization-Leap/computable-cooperation-mechanisms" TargetMode="External"/><Relationship Id="rId10" Type="http://schemas.openxmlformats.org/officeDocument/2006/relationships/hyperlink" Target="https://www.stb.gov/resources/major-railroad-mergers/" TargetMode="External"/><Relationship Id="rId11" Type="http://schemas.openxmlformats.org/officeDocument/2006/relationships/hyperlink" Target="https://www.up.com/press-releases/growth/amended-merger-app-filed-260430" TargetMode="External"/><Relationship Id="rId12" Type="http://schemas.openxmlformats.org/officeDocument/2006/relationships/hyperlink" Target="https://www.up.com/announcements/intermodal/PR2025-73" TargetMode="External"/><Relationship Id="rId13" Type="http://schemas.openxmlformats.org/officeDocument/2006/relationships/hyperlink" Target="https://norfolksouthern.investorroom.com/2025-09-15-New-Union-Pacific-and-Norfolk-Southern-Intermodal-Gateway-Expands-Market-Access" TargetMode="External"/><Relationship Id="rId14" Type="http://schemas.openxmlformats.org/officeDocument/2006/relationships/hyperlink" Target="https://www.stb.gov/news-communications/latest-news/pr-26-21/" TargetMode="External"/><Relationship Id="rId15" Type="http://schemas.openxmlformats.org/officeDocument/2006/relationships/hyperlink" Target="https://dcms-external.s3.amazonaws.com/DCMS_External_PROD/1787084164134/53195.pdf" TargetMode="External"/><Relationship Id="rId16" Type="http://schemas.openxmlformats.org/officeDocument/2006/relationships/hyperlink" Target="https://www.freightwaves.com/news/union-pacific-norfolk-southern-file-revised-merger-application" TargetMode="External"/><Relationship Id="rId17" Type="http://schemas.openxmlformats.org/officeDocument/2006/relationships/hyperlink" Target="https://www.up-nstranscontinental.com/stb-filling-hub/volume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从铁路并购到智能物流网络</dc:title>
  <dc:subject/>
  <dc:creator>子君赋</dc:creator>
  <cp:keywords/>
  <dc:description>V1.2.1 定向终校；补可观察指标和证据访问路径；保留战略主线。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